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57558D" w14:textId="77777777" w:rsidR="000D04B5" w:rsidRPr="00B16609" w:rsidRDefault="00D039BE">
      <w:pPr>
        <w:spacing w:after="0" w:line="259" w:lineRule="auto"/>
        <w:ind w:left="0" w:right="0" w:firstLine="0"/>
        <w:jc w:val="left"/>
        <w:rPr>
          <w:rFonts w:ascii="Arial" w:hAnsi="Arial" w:cs="Arial"/>
        </w:rPr>
      </w:pPr>
      <w:bookmarkStart w:id="0" w:name="_GoBack"/>
      <w:bookmarkEnd w:id="0"/>
      <w:r w:rsidRPr="00B16609">
        <w:rPr>
          <w:rFonts w:ascii="Arial" w:hAnsi="Arial" w:cs="Arial"/>
        </w:rPr>
        <w:t xml:space="preserve"> </w:t>
      </w:r>
    </w:p>
    <w:p w14:paraId="1F79C97B"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1E33438F"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b/>
        </w:rPr>
        <w:t xml:space="preserve"> </w:t>
      </w:r>
    </w:p>
    <w:p w14:paraId="44C70763" w14:textId="77777777" w:rsidR="00645126" w:rsidRPr="00B16609" w:rsidRDefault="00645126">
      <w:pPr>
        <w:spacing w:after="10"/>
        <w:ind w:left="-5" w:right="0" w:hanging="10"/>
        <w:jc w:val="left"/>
        <w:rPr>
          <w:rFonts w:ascii="Arial" w:hAnsi="Arial" w:cs="Arial"/>
          <w:b/>
        </w:rPr>
      </w:pPr>
      <w:r w:rsidRPr="00B16609">
        <w:rPr>
          <w:rFonts w:ascii="Arial" w:hAnsi="Arial" w:cs="Arial"/>
          <w:b/>
        </w:rPr>
        <w:t>DIPUTADO MARIO ALEJANDRO CUEVAS MENA</w:t>
      </w:r>
    </w:p>
    <w:p w14:paraId="179FC544" w14:textId="77777777" w:rsidR="00645126" w:rsidRPr="00B16609" w:rsidRDefault="00645126">
      <w:pPr>
        <w:spacing w:after="10"/>
        <w:ind w:left="-5" w:right="0" w:hanging="10"/>
        <w:jc w:val="left"/>
        <w:rPr>
          <w:rFonts w:ascii="Arial" w:hAnsi="Arial" w:cs="Arial"/>
          <w:b/>
        </w:rPr>
      </w:pPr>
      <w:r w:rsidRPr="00B16609">
        <w:rPr>
          <w:rFonts w:ascii="Arial" w:hAnsi="Arial" w:cs="Arial"/>
          <w:b/>
        </w:rPr>
        <w:t>PRESIDENTE DE LA MESA DIRECTIVA DEL</w:t>
      </w:r>
    </w:p>
    <w:p w14:paraId="6AA8A5DD" w14:textId="356FA87E" w:rsidR="000D04B5" w:rsidRPr="00B16609" w:rsidRDefault="00D039BE">
      <w:pPr>
        <w:spacing w:after="10"/>
        <w:ind w:left="-5" w:right="0" w:hanging="10"/>
        <w:jc w:val="left"/>
        <w:rPr>
          <w:rFonts w:ascii="Arial" w:hAnsi="Arial" w:cs="Arial"/>
        </w:rPr>
      </w:pPr>
      <w:r w:rsidRPr="00B16609">
        <w:rPr>
          <w:rFonts w:ascii="Arial" w:hAnsi="Arial" w:cs="Arial"/>
          <w:b/>
        </w:rPr>
        <w:t xml:space="preserve">CONGRESO DEL ESTADO DE YUCATAN </w:t>
      </w:r>
    </w:p>
    <w:p w14:paraId="62EFEC7F" w14:textId="77777777" w:rsidR="000D04B5" w:rsidRPr="00B16609" w:rsidRDefault="00D039BE">
      <w:pPr>
        <w:spacing w:after="10"/>
        <w:ind w:left="-5" w:right="0" w:hanging="10"/>
        <w:jc w:val="left"/>
        <w:rPr>
          <w:rFonts w:ascii="Arial" w:hAnsi="Arial" w:cs="Arial"/>
        </w:rPr>
      </w:pPr>
      <w:r w:rsidRPr="00B16609">
        <w:rPr>
          <w:rFonts w:ascii="Arial" w:hAnsi="Arial" w:cs="Arial"/>
          <w:b/>
        </w:rPr>
        <w:t xml:space="preserve">LXIV LEGISLATURA </w:t>
      </w:r>
    </w:p>
    <w:p w14:paraId="29509C7B" w14:textId="77777777" w:rsidR="000D04B5" w:rsidRPr="00B16609" w:rsidRDefault="00D039BE">
      <w:pPr>
        <w:spacing w:after="10"/>
        <w:ind w:left="-5" w:right="0" w:hanging="10"/>
        <w:jc w:val="left"/>
        <w:rPr>
          <w:rFonts w:ascii="Arial" w:hAnsi="Arial" w:cs="Arial"/>
        </w:rPr>
      </w:pPr>
      <w:r w:rsidRPr="00B16609">
        <w:rPr>
          <w:rFonts w:ascii="Arial" w:hAnsi="Arial" w:cs="Arial"/>
          <w:b/>
        </w:rPr>
        <w:t xml:space="preserve">PRESENTE </w:t>
      </w:r>
    </w:p>
    <w:p w14:paraId="148FD415"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33C49363" w14:textId="77777777" w:rsidR="00645126" w:rsidRPr="00B16609" w:rsidRDefault="00D039BE">
      <w:pPr>
        <w:ind w:left="-8" w:right="34"/>
        <w:rPr>
          <w:rFonts w:ascii="Arial" w:hAnsi="Arial" w:cs="Arial"/>
        </w:rPr>
      </w:pPr>
      <w:r w:rsidRPr="00B16609">
        <w:rPr>
          <w:rFonts w:ascii="Arial" w:hAnsi="Arial" w:cs="Arial"/>
          <w:b/>
        </w:rPr>
        <w:t>BAYARDO OJEDA MARRUFO</w:t>
      </w:r>
      <w:r w:rsidRPr="00B16609">
        <w:rPr>
          <w:rFonts w:ascii="Arial" w:hAnsi="Arial" w:cs="Arial"/>
        </w:rPr>
        <w:t xml:space="preserve">, Diputado de la LXIV legislatura, y con fundamento en el artículo 35 fracción I de la Constitución Política del Estado de Yucatán, y los artículos 16 y 22 fracción VI de la Ley de Gobierno de Poder Legislativo del Estado de Yucatán, así como los artículos 68 y 69 del Reglamento de la citada Ley, a nombre de la Fracción Parlamentaria de Morena y de las representaciones del Partido del Trabajo y Verde Ecologista de México, me permito presentar a consideración de esta H. soberanía la presente iniciativa con proyecto de decreto por el que: </w:t>
      </w:r>
    </w:p>
    <w:p w14:paraId="7FE812F9" w14:textId="77777777" w:rsidR="00645126" w:rsidRPr="00B16609" w:rsidRDefault="00645126">
      <w:pPr>
        <w:ind w:left="-8" w:right="34"/>
        <w:rPr>
          <w:rFonts w:ascii="Arial" w:hAnsi="Arial" w:cs="Arial"/>
          <w:b/>
        </w:rPr>
      </w:pPr>
    </w:p>
    <w:p w14:paraId="02B8E83F" w14:textId="3D6625CD" w:rsidR="00645126" w:rsidRPr="00B16609" w:rsidRDefault="00645126" w:rsidP="00645126">
      <w:pPr>
        <w:ind w:left="-8" w:right="34"/>
        <w:rPr>
          <w:rFonts w:ascii="Arial" w:hAnsi="Arial" w:cs="Arial"/>
        </w:rPr>
      </w:pPr>
      <w:r w:rsidRPr="00B16609">
        <w:rPr>
          <w:rFonts w:ascii="Arial" w:hAnsi="Arial" w:cs="Arial"/>
          <w:b/>
        </w:rPr>
        <w:t xml:space="preserve">SE REFORMA LA LEY DE GOBIERNO DE LOS MUNICIPIOS DEL ESTADO DE YUCATÁN Y LA LEY DE GOBIERNO DEL PODER LEGISLATIVO DEL ESTADO DE YUCATÁN, EN MATERIA DE FORTALECIMIENTO MUNICIPAL, </w:t>
      </w:r>
      <w:r w:rsidRPr="00B16609">
        <w:rPr>
          <w:rFonts w:ascii="Arial" w:hAnsi="Arial" w:cs="Arial"/>
          <w:bCs/>
        </w:rPr>
        <w:t>al tenor de la siguiente:</w:t>
      </w:r>
    </w:p>
    <w:p w14:paraId="05866CB1" w14:textId="737A49CC"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11046A64" w14:textId="77777777" w:rsidR="000D04B5" w:rsidRPr="00B16609" w:rsidRDefault="00D039BE">
      <w:pPr>
        <w:pStyle w:val="Ttulo1"/>
        <w:ind w:right="49"/>
        <w:rPr>
          <w:rFonts w:ascii="Arial" w:hAnsi="Arial" w:cs="Arial"/>
        </w:rPr>
      </w:pPr>
      <w:r w:rsidRPr="00B16609">
        <w:rPr>
          <w:rFonts w:ascii="Arial" w:hAnsi="Arial" w:cs="Arial"/>
        </w:rPr>
        <w:t xml:space="preserve">EXPOSICIÓN DE MOTIVOS </w:t>
      </w:r>
    </w:p>
    <w:p w14:paraId="7172389F"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45F311BD" w14:textId="77777777" w:rsidR="000D04B5" w:rsidRPr="00B16609" w:rsidRDefault="00D039BE">
      <w:pPr>
        <w:ind w:left="-8" w:right="34"/>
        <w:rPr>
          <w:rFonts w:ascii="Arial" w:hAnsi="Arial" w:cs="Arial"/>
        </w:rPr>
      </w:pPr>
      <w:r w:rsidRPr="00B16609">
        <w:rPr>
          <w:rFonts w:ascii="Arial" w:hAnsi="Arial" w:cs="Arial"/>
        </w:rPr>
        <w:t xml:space="preserve">El 25 de enero de 2006, la LVII Legislatura del H. Congreso del Estado de Yucatán aprobó la iniciativa para crear la Ley de Gobierno de los Municipios del Estado de Yucatán, misma que abrogó la Ley Orgánica de los Municipios del Estado de Yucatán, publicada en el Diario Oficial del Estado de fecha 25 de octubre de 1988. </w:t>
      </w:r>
    </w:p>
    <w:p w14:paraId="18FC61BE"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253E86F3" w14:textId="77777777" w:rsidR="000D04B5" w:rsidRPr="00B16609" w:rsidRDefault="00D039BE">
      <w:pPr>
        <w:ind w:left="-8" w:right="34"/>
        <w:rPr>
          <w:rFonts w:ascii="Arial" w:hAnsi="Arial" w:cs="Arial"/>
        </w:rPr>
      </w:pPr>
      <w:r w:rsidRPr="00B16609">
        <w:rPr>
          <w:rFonts w:ascii="Arial" w:hAnsi="Arial" w:cs="Arial"/>
        </w:rPr>
        <w:t xml:space="preserve">La nueva legislación ha sido objeto de diversas reformas con el paso del tiempo, ante la necesidad de ir adecuándola a la realidad del Estado, siendo la última la publicada el 7 de mayo de 2025, para establecer un aspecto de inclusión, al reservar un porcentaje mínimo de puestos en las administraciones públicas municipales para las personas con discapacidad y los adultos mayores. </w:t>
      </w:r>
    </w:p>
    <w:p w14:paraId="6ACBD258"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28517168" w14:textId="77777777" w:rsidR="000D04B5" w:rsidRPr="00B16609" w:rsidRDefault="00D039BE">
      <w:pPr>
        <w:ind w:left="-8" w:right="34"/>
        <w:rPr>
          <w:rFonts w:ascii="Arial" w:hAnsi="Arial" w:cs="Arial"/>
        </w:rPr>
      </w:pPr>
      <w:r w:rsidRPr="00B16609">
        <w:rPr>
          <w:rFonts w:ascii="Arial" w:hAnsi="Arial" w:cs="Arial"/>
        </w:rPr>
        <w:t xml:space="preserve">Sin embargo, a casi 20 años de su entrada en vigor, la Ley de Gobierno de los Municipios del Estado de Yucatán aún mantiene como opcional que los servidores públicos acrediten conocimientos técnicos, habilidades y actitudes para desarrollar con calidad, legalidad y eficiencia las atribuciones que la ley les confiere, en tanto </w:t>
      </w:r>
      <w:r w:rsidRPr="00B16609">
        <w:rPr>
          <w:rFonts w:ascii="Arial" w:hAnsi="Arial" w:cs="Arial"/>
        </w:rPr>
        <w:lastRenderedPageBreak/>
        <w:t xml:space="preserve">que, en el ámbito nacional, la tendencia es hacia la profesionalización de los funcionarios. </w:t>
      </w:r>
    </w:p>
    <w:p w14:paraId="57786AC9"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41A59037" w14:textId="77777777" w:rsidR="000D04B5" w:rsidRPr="00B16609" w:rsidRDefault="00D039BE">
      <w:pPr>
        <w:ind w:left="-8" w:right="34"/>
        <w:rPr>
          <w:rFonts w:ascii="Arial" w:hAnsi="Arial" w:cs="Arial"/>
        </w:rPr>
      </w:pPr>
      <w:r w:rsidRPr="00B16609">
        <w:rPr>
          <w:rFonts w:ascii="Arial" w:hAnsi="Arial" w:cs="Arial"/>
        </w:rPr>
        <w:t xml:space="preserve">Esta omisión legislativa contribuye a que una parte significativa de los gobiernos municipales de Yucatán opere con servidores públicos con una escasa preparación especializada, lo que también se traduce en la contratación de asesores municipales, que en muchas ocasiones poseen los conocimientos técnicos o profesionales, pero carecen de la capacitación en materia de gobierno municipal, lo que trae consigo deficiencias administrativas y la afectación a la calidad de los servicios públicos que reciben las y los ciudadanos. </w:t>
      </w:r>
    </w:p>
    <w:p w14:paraId="079A56BD"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46FE5272" w14:textId="77777777" w:rsidR="000D04B5" w:rsidRPr="00B16609" w:rsidRDefault="00D039BE">
      <w:pPr>
        <w:ind w:left="-8" w:right="34"/>
        <w:rPr>
          <w:rFonts w:ascii="Arial" w:hAnsi="Arial" w:cs="Arial"/>
        </w:rPr>
      </w:pPr>
      <w:r w:rsidRPr="00B16609">
        <w:rPr>
          <w:rFonts w:ascii="Arial" w:hAnsi="Arial" w:cs="Arial"/>
        </w:rPr>
        <w:t xml:space="preserve">Además, los trabajos de revisión de la Ley de Gobierno de los Municipios del Estado de Yucatán nos permitieron contar con las valiosas observaciones y propuestas del Instituto de Desarrollo Regional y Municipal, instancia del Gobierno del Estado, que mantiene contacto directo con la situación y la realidad de los problemas institucionales que presentan los Ayuntamientos en Yucatán. </w:t>
      </w:r>
    </w:p>
    <w:p w14:paraId="25ADCBB0"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176BE479" w14:textId="77777777" w:rsidR="000D04B5" w:rsidRPr="00B16609" w:rsidRDefault="00D039BE">
      <w:pPr>
        <w:numPr>
          <w:ilvl w:val="0"/>
          <w:numId w:val="1"/>
        </w:numPr>
        <w:spacing w:after="10"/>
        <w:ind w:right="0" w:hanging="426"/>
        <w:jc w:val="left"/>
        <w:rPr>
          <w:rFonts w:ascii="Arial" w:hAnsi="Arial" w:cs="Arial"/>
        </w:rPr>
      </w:pPr>
      <w:r w:rsidRPr="00B16609">
        <w:rPr>
          <w:rFonts w:ascii="Arial" w:hAnsi="Arial" w:cs="Arial"/>
          <w:b/>
        </w:rPr>
        <w:t xml:space="preserve">Situación internacional </w:t>
      </w:r>
    </w:p>
    <w:p w14:paraId="2128BF04"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3334B3C0" w14:textId="77777777" w:rsidR="000D04B5" w:rsidRPr="00B16609" w:rsidRDefault="00D039BE">
      <w:pPr>
        <w:ind w:left="-8" w:right="34"/>
        <w:rPr>
          <w:rFonts w:ascii="Arial" w:hAnsi="Arial" w:cs="Arial"/>
        </w:rPr>
      </w:pPr>
      <w:r w:rsidRPr="00B16609">
        <w:rPr>
          <w:rFonts w:ascii="Arial" w:hAnsi="Arial" w:cs="Arial"/>
        </w:rPr>
        <w:t xml:space="preserve">En el ámbito internacional, organismos como la Organización para la Cooperación y el Desarrollo Económicos (OCDE), la Comisión Económica para América Latina y el Caribe (CEPAL) y el Banco Interamericano de Desarrollo (BID) recomiendan el fortalecimiento de las capacidades institucionales del gobierno municipal, como piedra angular del desarrollo local. Entre sus recomendaciones incluyen la adopción de sistemas de evaluación del desempeño y de certificación de competencias, con énfasis en la transparencia, eficiencia y equidad. </w:t>
      </w:r>
    </w:p>
    <w:p w14:paraId="07E0A88A"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50AE7D2A" w14:textId="77777777" w:rsidR="000D04B5" w:rsidRPr="00B16609" w:rsidRDefault="00D039BE">
      <w:pPr>
        <w:ind w:left="-8" w:right="34"/>
        <w:rPr>
          <w:rFonts w:ascii="Arial" w:hAnsi="Arial" w:cs="Arial"/>
        </w:rPr>
      </w:pPr>
      <w:r w:rsidRPr="00B16609">
        <w:rPr>
          <w:rFonts w:ascii="Arial" w:hAnsi="Arial" w:cs="Arial"/>
        </w:rPr>
        <w:t>Al respecto, entre los Objetivos de Desarrollo Sostenible de la Organización de las Naciones Unidas, a los que México se comprometió a cumplir en 2030, se encuentra el Objetivo 16, que establece a los países miembros el compromiso de “</w:t>
      </w:r>
      <w:r w:rsidRPr="00B16609">
        <w:rPr>
          <w:rFonts w:ascii="Arial" w:hAnsi="Arial" w:cs="Arial"/>
          <w:i/>
        </w:rPr>
        <w:t>Promover sociedades justas, pacíficas e inclusivas</w:t>
      </w:r>
      <w:r w:rsidRPr="00B16609">
        <w:rPr>
          <w:rFonts w:ascii="Arial" w:hAnsi="Arial" w:cs="Arial"/>
        </w:rPr>
        <w:t>” y, para ello, entre las líneas de acción de dicho objetivo se encuentra la 16.6: “</w:t>
      </w:r>
      <w:r w:rsidRPr="00B16609">
        <w:rPr>
          <w:rFonts w:ascii="Arial" w:hAnsi="Arial" w:cs="Arial"/>
          <w:i/>
        </w:rPr>
        <w:t>Crear a todos los niveles instituciones eficaces y transparentes que rindan cuentas</w:t>
      </w:r>
      <w:r w:rsidRPr="00B16609">
        <w:rPr>
          <w:rFonts w:ascii="Arial" w:hAnsi="Arial" w:cs="Arial"/>
        </w:rPr>
        <w:t xml:space="preserve">”. </w:t>
      </w:r>
    </w:p>
    <w:p w14:paraId="51049597"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37EB99D2" w14:textId="77777777" w:rsidR="000D04B5" w:rsidRPr="00B16609" w:rsidRDefault="00D039BE">
      <w:pPr>
        <w:numPr>
          <w:ilvl w:val="0"/>
          <w:numId w:val="1"/>
        </w:numPr>
        <w:spacing w:after="10"/>
        <w:ind w:right="0" w:hanging="426"/>
        <w:jc w:val="left"/>
        <w:rPr>
          <w:rFonts w:ascii="Arial" w:hAnsi="Arial" w:cs="Arial"/>
        </w:rPr>
      </w:pPr>
      <w:r w:rsidRPr="00B16609">
        <w:rPr>
          <w:rFonts w:ascii="Arial" w:hAnsi="Arial" w:cs="Arial"/>
          <w:b/>
        </w:rPr>
        <w:t xml:space="preserve">Situación nacional </w:t>
      </w:r>
    </w:p>
    <w:p w14:paraId="6478F091"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0EB1DE5E" w14:textId="77777777" w:rsidR="000D04B5" w:rsidRPr="00B16609" w:rsidRDefault="00D039BE">
      <w:pPr>
        <w:ind w:left="-8" w:right="34"/>
        <w:rPr>
          <w:rFonts w:ascii="Arial" w:hAnsi="Arial" w:cs="Arial"/>
        </w:rPr>
      </w:pPr>
      <w:r w:rsidRPr="00B16609">
        <w:rPr>
          <w:rFonts w:ascii="Arial" w:hAnsi="Arial" w:cs="Arial"/>
        </w:rPr>
        <w:t xml:space="preserve">Desde la década de 2010, el Sistema Nacional de Competencias, operado por el Consejo Nacional de Normalización y Certificación de Competencias Laborales (CONOCER), dependiente de la Secretaría de Educación Pública, ha sido una instancia eficaz para la estandarización y la certificación de capacidades laborales en los sectores público y privado.  </w:t>
      </w:r>
    </w:p>
    <w:p w14:paraId="58AC8102"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6CDE00CA" w14:textId="77777777" w:rsidR="000D04B5" w:rsidRPr="00B16609" w:rsidRDefault="00D039BE">
      <w:pPr>
        <w:ind w:left="-8" w:right="34"/>
        <w:rPr>
          <w:rFonts w:ascii="Arial" w:hAnsi="Arial" w:cs="Arial"/>
        </w:rPr>
      </w:pPr>
      <w:r w:rsidRPr="00B16609">
        <w:rPr>
          <w:rFonts w:ascii="Arial" w:hAnsi="Arial" w:cs="Arial"/>
        </w:rPr>
        <w:t xml:space="preserve">En 2018, el Instituto Nacional para el Federalismo y el Desarrollo Municipal (INAFED) lanzó el Programa Nacional de Certificación de Competencias Laborales del Servidor Público Local, orientado a funcionarios municipales de alto nivel.  </w:t>
      </w:r>
    </w:p>
    <w:p w14:paraId="1BD14823"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46C918D7" w14:textId="77777777" w:rsidR="000D04B5" w:rsidRPr="00B16609" w:rsidRDefault="00D039BE">
      <w:pPr>
        <w:ind w:left="-8" w:right="34"/>
        <w:rPr>
          <w:rFonts w:ascii="Arial" w:hAnsi="Arial" w:cs="Arial"/>
        </w:rPr>
      </w:pPr>
      <w:r w:rsidRPr="00B16609">
        <w:rPr>
          <w:rFonts w:ascii="Arial" w:hAnsi="Arial" w:cs="Arial"/>
        </w:rPr>
        <w:t xml:space="preserve">Este programa, diseñado en coordinación con entidades estatales y federales, a través de comités técnicos, ha desarrollado estándares en al menos 9 áreas sustantivas de la gestión municipal (como Administración de los Servicios Públicos Municipales, Secretaría del Ayuntamiento, Hacienda municipal, Obras Públicas, Contraloría, Registro Civil, Género, Urbanismo, etc.).  </w:t>
      </w:r>
    </w:p>
    <w:p w14:paraId="2BCADDCD"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20ABD851" w14:textId="77777777" w:rsidR="000D04B5" w:rsidRPr="00B16609" w:rsidRDefault="00D039BE">
      <w:pPr>
        <w:ind w:left="-8" w:right="34"/>
        <w:rPr>
          <w:rFonts w:ascii="Arial" w:hAnsi="Arial" w:cs="Arial"/>
        </w:rPr>
      </w:pPr>
      <w:r w:rsidRPr="00B16609">
        <w:rPr>
          <w:rFonts w:ascii="Arial" w:hAnsi="Arial" w:cs="Arial"/>
        </w:rPr>
        <w:t xml:space="preserve">Sin embargo, la adopción de certificaciones en el ámbito municipal ha sido marginal, pues según datos de CONOCER, menos de 5% de los servidores públicos municipales en México cuentan con una certificación vigente en competencias laborales. </w:t>
      </w:r>
    </w:p>
    <w:p w14:paraId="7B9662E7"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535D430F" w14:textId="77777777" w:rsidR="000D04B5" w:rsidRPr="00B16609" w:rsidRDefault="00D039BE">
      <w:pPr>
        <w:ind w:left="-8" w:right="34"/>
        <w:rPr>
          <w:rFonts w:ascii="Arial" w:hAnsi="Arial" w:cs="Arial"/>
        </w:rPr>
      </w:pPr>
      <w:r w:rsidRPr="00B16609">
        <w:rPr>
          <w:rFonts w:ascii="Arial" w:hAnsi="Arial" w:cs="Arial"/>
        </w:rPr>
        <w:t xml:space="preserve">Ante esta situación, ya son diversas las entidades federativas que en sus leyes orgánicas municipales exigen la certificación de funcionarios para ciertos cargos locales, entre los que se encuentran Chiapas, Chihuahua, Hidalgo, Jalisco, Puebla, Querétaro, Nuevo León, Morelos, Estado de México, San Luis Potosí y Tamaulipas, algunas de ellas con recientes reformas para hacer obligatoria dicha certificación. </w:t>
      </w:r>
    </w:p>
    <w:p w14:paraId="3BE27C21"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b/>
        </w:rPr>
        <w:t xml:space="preserve"> </w:t>
      </w:r>
    </w:p>
    <w:p w14:paraId="7AC0C41E" w14:textId="77777777" w:rsidR="000D04B5" w:rsidRPr="00B16609" w:rsidRDefault="00D039BE">
      <w:pPr>
        <w:ind w:left="-8" w:right="34"/>
        <w:rPr>
          <w:rFonts w:ascii="Arial" w:hAnsi="Arial" w:cs="Arial"/>
        </w:rPr>
      </w:pPr>
      <w:r w:rsidRPr="00B16609">
        <w:rPr>
          <w:rFonts w:ascii="Arial" w:hAnsi="Arial" w:cs="Arial"/>
        </w:rPr>
        <w:t xml:space="preserve">No existe un ranking oficial del número de certificaciones por entidad federativa, pero se sabe que las que cuentan con legislación municipal actualizada y programas federales de fortalecimiento municipal o políticas estatales de profesionalización, lideran los esfuerzos en el país. </w:t>
      </w:r>
    </w:p>
    <w:p w14:paraId="5030B3B3"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776ABD28" w14:textId="77777777" w:rsidR="000D04B5" w:rsidRPr="00B16609" w:rsidRDefault="00D039BE">
      <w:pPr>
        <w:ind w:left="-8" w:right="34"/>
        <w:rPr>
          <w:rFonts w:ascii="Arial" w:hAnsi="Arial" w:cs="Arial"/>
        </w:rPr>
      </w:pPr>
      <w:r w:rsidRPr="00B16609">
        <w:rPr>
          <w:rFonts w:ascii="Arial" w:hAnsi="Arial" w:cs="Arial"/>
        </w:rPr>
        <w:t xml:space="preserve">Expertos y autoridades municipales afirman que la certificación ha demostrado beneficios constatables en la calidad administrativa, así como en el fortalecimiento de la eficiencia y la rendición de cuentas, y al vincularse con estándares claros, los servidores conocen mejor sus funciones y se someten a evaluaciones objetivas. </w:t>
      </w:r>
    </w:p>
    <w:p w14:paraId="54E78D48"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5223F69F" w14:textId="77777777" w:rsidR="000D04B5" w:rsidRPr="00B16609" w:rsidRDefault="00D039BE">
      <w:pPr>
        <w:ind w:left="-8" w:right="34"/>
        <w:rPr>
          <w:rFonts w:ascii="Arial" w:hAnsi="Arial" w:cs="Arial"/>
        </w:rPr>
      </w:pPr>
      <w:r w:rsidRPr="00B16609">
        <w:rPr>
          <w:rFonts w:ascii="Arial" w:hAnsi="Arial" w:cs="Arial"/>
        </w:rPr>
        <w:t xml:space="preserve">Además, los certificados son un activo profesional y una motivación personal, pues mejora las oportunidades laborales y da visibilidad a la trayectoria de cada funcionario.  </w:t>
      </w:r>
    </w:p>
    <w:p w14:paraId="48B90814"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7D77CAB1" w14:textId="77777777" w:rsidR="000D04B5" w:rsidRPr="00B16609" w:rsidRDefault="00D039BE">
      <w:pPr>
        <w:ind w:left="-8" w:right="34"/>
        <w:rPr>
          <w:rFonts w:ascii="Arial" w:hAnsi="Arial" w:cs="Arial"/>
        </w:rPr>
      </w:pPr>
      <w:r w:rsidRPr="00B16609">
        <w:rPr>
          <w:rFonts w:ascii="Arial" w:hAnsi="Arial" w:cs="Arial"/>
        </w:rPr>
        <w:t xml:space="preserve">Incluso, la Secretaría de Educación Pública ha resaltado que estas políticas acompañan a la llamada Nueva Escuela Mexicana, establecida desde el inicio del gobierno de la Cuarta Transformación, al vincular la formación académica con experiencia laboral certificada.  </w:t>
      </w:r>
    </w:p>
    <w:p w14:paraId="77A7E9EC"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b/>
        </w:rPr>
        <w:t xml:space="preserve"> </w:t>
      </w:r>
    </w:p>
    <w:p w14:paraId="7FC60C13" w14:textId="77777777" w:rsidR="000D04B5" w:rsidRPr="00B16609" w:rsidRDefault="00D039BE">
      <w:pPr>
        <w:ind w:left="-8" w:right="34"/>
        <w:rPr>
          <w:rFonts w:ascii="Arial" w:hAnsi="Arial" w:cs="Arial"/>
        </w:rPr>
      </w:pPr>
      <w:r w:rsidRPr="00B16609">
        <w:rPr>
          <w:rFonts w:ascii="Arial" w:hAnsi="Arial" w:cs="Arial"/>
        </w:rPr>
        <w:t xml:space="preserve">Pese a todo lo anterior, es cierto que no todos los mandos municipales saben de los beneficios del Sistema Nacional de Competencias y, aunque se conocen los principales beneficios cualitativos, faltan estudios rigurosos que midan el impacto de la certificación en el desempeño institucional.  </w:t>
      </w:r>
    </w:p>
    <w:p w14:paraId="6BCA3327"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471961EB" w14:textId="77777777" w:rsidR="000D04B5" w:rsidRPr="00B16609" w:rsidRDefault="00D039BE">
      <w:pPr>
        <w:ind w:left="-8" w:right="34"/>
        <w:rPr>
          <w:rFonts w:ascii="Arial" w:hAnsi="Arial" w:cs="Arial"/>
        </w:rPr>
      </w:pPr>
      <w:r w:rsidRPr="00B16609">
        <w:rPr>
          <w:rFonts w:ascii="Arial" w:hAnsi="Arial" w:cs="Arial"/>
        </w:rPr>
        <w:t xml:space="preserve">La ausencia de indicadores estandarizados dificulta conocer cuántos certificados se han aplicado efectivamente en puestos municipales o cómo han mejorado los servicios. Así, contar con ciertas métricas, como, por ejemplo, el porcentaje de directores municipales certificados ayudaría a orientar a las políticas públicas. </w:t>
      </w:r>
    </w:p>
    <w:p w14:paraId="33CE4CDD"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0C67819F" w14:textId="77777777" w:rsidR="000D04B5" w:rsidRPr="00B16609" w:rsidRDefault="00D039BE">
      <w:pPr>
        <w:ind w:left="-8" w:right="34"/>
        <w:rPr>
          <w:rFonts w:ascii="Arial" w:hAnsi="Arial" w:cs="Arial"/>
        </w:rPr>
      </w:pPr>
      <w:r w:rsidRPr="00B16609">
        <w:rPr>
          <w:rFonts w:ascii="Arial" w:hAnsi="Arial" w:cs="Arial"/>
        </w:rPr>
        <w:t>Por otra parte, el Plan Nacional de Desarrollo 2025-2030 establece dos Ejes de acciones que contribuyen al cumplimiento de los llamados ODS: el “</w:t>
      </w:r>
      <w:r w:rsidRPr="00B16609">
        <w:rPr>
          <w:rFonts w:ascii="Arial" w:hAnsi="Arial" w:cs="Arial"/>
          <w:i/>
        </w:rPr>
        <w:t>Eje General 2: Desarrollo con bienestar y humanismo</w:t>
      </w:r>
      <w:r w:rsidRPr="00B16609">
        <w:rPr>
          <w:rFonts w:ascii="Arial" w:hAnsi="Arial" w:cs="Arial"/>
        </w:rPr>
        <w:t>”, y el</w:t>
      </w:r>
      <w:r w:rsidRPr="00B16609">
        <w:rPr>
          <w:rFonts w:ascii="Arial" w:hAnsi="Arial" w:cs="Arial"/>
          <w:i/>
        </w:rPr>
        <w:t xml:space="preserve"> </w:t>
      </w:r>
      <w:r w:rsidRPr="00B16609">
        <w:rPr>
          <w:rFonts w:ascii="Arial" w:hAnsi="Arial" w:cs="Arial"/>
        </w:rPr>
        <w:t>“</w:t>
      </w:r>
      <w:r w:rsidRPr="00B16609">
        <w:rPr>
          <w:rFonts w:ascii="Arial" w:hAnsi="Arial" w:cs="Arial"/>
          <w:i/>
        </w:rPr>
        <w:t>Eje Transversal 2: Innovación pública para el desarrollo tecnológico nacional</w:t>
      </w:r>
      <w:r w:rsidRPr="00B16609">
        <w:rPr>
          <w:rFonts w:ascii="Arial" w:hAnsi="Arial" w:cs="Arial"/>
        </w:rPr>
        <w:t xml:space="preserve">”. </w:t>
      </w:r>
    </w:p>
    <w:p w14:paraId="79E4613D"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49734F01" w14:textId="77777777" w:rsidR="000D04B5" w:rsidRPr="00B16609" w:rsidRDefault="00D039BE">
      <w:pPr>
        <w:spacing w:after="2" w:line="240" w:lineRule="auto"/>
        <w:ind w:left="-5" w:right="34" w:hanging="10"/>
        <w:rPr>
          <w:rFonts w:ascii="Arial" w:hAnsi="Arial" w:cs="Arial"/>
        </w:rPr>
      </w:pPr>
      <w:r w:rsidRPr="00B16609">
        <w:rPr>
          <w:rFonts w:ascii="Arial" w:hAnsi="Arial" w:cs="Arial"/>
        </w:rPr>
        <w:t>En el primero se encuentra el “</w:t>
      </w:r>
      <w:r w:rsidRPr="00B16609">
        <w:rPr>
          <w:rFonts w:ascii="Arial" w:hAnsi="Arial" w:cs="Arial"/>
          <w:i/>
        </w:rPr>
        <w:t>Objetivo 2.4: Impulsar el desarrollo científico y tecnológico a través de la educación, formación y capacitación para el trabajo, garantizando servicios innovadores, pertinentes y actualizados que mejoren el bienestar y la calidad de vida de todas las personas</w:t>
      </w:r>
      <w:r w:rsidRPr="00B16609">
        <w:rPr>
          <w:rFonts w:ascii="Arial" w:hAnsi="Arial" w:cs="Arial"/>
        </w:rPr>
        <w:t xml:space="preserve">”. </w:t>
      </w:r>
    </w:p>
    <w:p w14:paraId="67AABE24"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1C4D50AF" w14:textId="77777777" w:rsidR="000D04B5" w:rsidRPr="00B16609" w:rsidRDefault="00D039BE">
      <w:pPr>
        <w:ind w:left="-8" w:right="34"/>
        <w:rPr>
          <w:rFonts w:ascii="Arial" w:hAnsi="Arial" w:cs="Arial"/>
        </w:rPr>
      </w:pPr>
      <w:r w:rsidRPr="00B16609">
        <w:rPr>
          <w:rFonts w:ascii="Arial" w:hAnsi="Arial" w:cs="Arial"/>
        </w:rPr>
        <w:t xml:space="preserve">Este objetivo nacional plantea dos estrategias para concretarlo:  </w:t>
      </w:r>
    </w:p>
    <w:p w14:paraId="5D1D08BD"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3DE51938" w14:textId="77777777" w:rsidR="000D04B5" w:rsidRPr="00B16609" w:rsidRDefault="00D039BE">
      <w:pPr>
        <w:spacing w:after="2" w:line="240" w:lineRule="auto"/>
        <w:ind w:left="-5" w:right="34" w:hanging="10"/>
        <w:rPr>
          <w:rFonts w:ascii="Arial" w:hAnsi="Arial" w:cs="Arial"/>
        </w:rPr>
      </w:pPr>
      <w:r w:rsidRPr="00B16609">
        <w:rPr>
          <w:rFonts w:ascii="Arial" w:hAnsi="Arial" w:cs="Arial"/>
        </w:rPr>
        <w:t>“</w:t>
      </w:r>
      <w:r w:rsidRPr="00B16609">
        <w:rPr>
          <w:rFonts w:ascii="Arial" w:hAnsi="Arial" w:cs="Arial"/>
          <w:i/>
        </w:rPr>
        <w:t xml:space="preserve">Estrategia 2.4.3. Fortalecer alternativas de servicios educativos, incluyendo educación dual, modalidades mixtas, semipresenciales y no escolarizadas, así como educación para personas adultas y </w:t>
      </w:r>
      <w:r w:rsidRPr="00B16609">
        <w:rPr>
          <w:rFonts w:ascii="Arial" w:hAnsi="Arial" w:cs="Arial"/>
          <w:b/>
          <w:i/>
        </w:rPr>
        <w:t>capacitación para el trabajo</w:t>
      </w:r>
      <w:r w:rsidRPr="00B16609">
        <w:rPr>
          <w:rFonts w:ascii="Arial" w:hAnsi="Arial" w:cs="Arial"/>
          <w:i/>
        </w:rPr>
        <w:t xml:space="preserve">. </w:t>
      </w:r>
    </w:p>
    <w:p w14:paraId="19055C07"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i/>
        </w:rPr>
        <w:t xml:space="preserve"> </w:t>
      </w:r>
    </w:p>
    <w:p w14:paraId="7DA8347B" w14:textId="77777777" w:rsidR="000D04B5" w:rsidRPr="00B16609" w:rsidRDefault="00D039BE">
      <w:pPr>
        <w:spacing w:after="2" w:line="240" w:lineRule="auto"/>
        <w:ind w:left="-5" w:right="34" w:hanging="10"/>
        <w:rPr>
          <w:rFonts w:ascii="Arial" w:hAnsi="Arial" w:cs="Arial"/>
        </w:rPr>
      </w:pPr>
      <w:r w:rsidRPr="00B16609">
        <w:rPr>
          <w:rFonts w:ascii="Arial" w:hAnsi="Arial" w:cs="Arial"/>
          <w:i/>
        </w:rPr>
        <w:t xml:space="preserve">“Estrategia 2.4.4. Crear las condiciones para ampliar el sistema dual de educación y formación profesional en colaboración con empresas, y </w:t>
      </w:r>
      <w:r w:rsidRPr="00B16609">
        <w:rPr>
          <w:rFonts w:ascii="Arial" w:hAnsi="Arial" w:cs="Arial"/>
          <w:b/>
          <w:i/>
        </w:rPr>
        <w:t>fortalecer la certificación de competencias laborales</w:t>
      </w:r>
      <w:r w:rsidRPr="00B16609">
        <w:rPr>
          <w:rFonts w:ascii="Arial" w:hAnsi="Arial" w:cs="Arial"/>
          <w:i/>
        </w:rPr>
        <w:t xml:space="preserve"> para reducir las brechas de habilidades y aumentar la oferta laboral especializada</w:t>
      </w:r>
      <w:r w:rsidRPr="00B16609">
        <w:rPr>
          <w:rFonts w:ascii="Arial" w:hAnsi="Arial" w:cs="Arial"/>
        </w:rPr>
        <w:t>”.</w:t>
      </w:r>
      <w:r w:rsidRPr="00B16609">
        <w:rPr>
          <w:rFonts w:ascii="Arial" w:hAnsi="Arial" w:cs="Arial"/>
          <w:i/>
        </w:rPr>
        <w:t xml:space="preserve"> </w:t>
      </w:r>
    </w:p>
    <w:p w14:paraId="38F25EE0"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452E8B85" w14:textId="77777777" w:rsidR="000D04B5" w:rsidRPr="00B16609" w:rsidRDefault="00D039BE">
      <w:pPr>
        <w:spacing w:after="2" w:line="240" w:lineRule="auto"/>
        <w:ind w:left="-5" w:right="34" w:hanging="10"/>
        <w:rPr>
          <w:rFonts w:ascii="Arial" w:hAnsi="Arial" w:cs="Arial"/>
        </w:rPr>
      </w:pPr>
      <w:r w:rsidRPr="00B16609">
        <w:rPr>
          <w:rFonts w:ascii="Arial" w:hAnsi="Arial" w:cs="Arial"/>
        </w:rPr>
        <w:t>Por su parte, en el Eje Transversal 2 se plantea el objetivo nacional T2.2: “</w:t>
      </w:r>
      <w:r w:rsidRPr="00B16609">
        <w:rPr>
          <w:rFonts w:ascii="Arial" w:hAnsi="Arial" w:cs="Arial"/>
          <w:i/>
        </w:rPr>
        <w:t>Impulsar la transformación digital y la modernización del sector público, garantizando la confianza en el uso de servicios digitales mediante medidas organizativas, técnicas y de gobernanza, que protejan los activos de información en la Administración Pública Federal</w:t>
      </w:r>
      <w:r w:rsidRPr="00B16609">
        <w:rPr>
          <w:rFonts w:ascii="Arial" w:hAnsi="Arial" w:cs="Arial"/>
        </w:rPr>
        <w:t xml:space="preserve">”. </w:t>
      </w:r>
    </w:p>
    <w:p w14:paraId="25AB467C"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36BBBC5E" w14:textId="77777777" w:rsidR="000D04B5" w:rsidRPr="00B16609" w:rsidRDefault="00D039BE">
      <w:pPr>
        <w:spacing w:after="2" w:line="240" w:lineRule="auto"/>
        <w:ind w:left="-5" w:right="34" w:hanging="10"/>
        <w:rPr>
          <w:rFonts w:ascii="Arial" w:hAnsi="Arial" w:cs="Arial"/>
        </w:rPr>
      </w:pPr>
      <w:r w:rsidRPr="00B16609">
        <w:rPr>
          <w:rFonts w:ascii="Arial" w:hAnsi="Arial" w:cs="Arial"/>
        </w:rPr>
        <w:t>Para ello se establece la estrategia T2.2.4: “</w:t>
      </w:r>
      <w:r w:rsidRPr="00B16609">
        <w:rPr>
          <w:rFonts w:ascii="Arial" w:hAnsi="Arial" w:cs="Arial"/>
          <w:b/>
          <w:i/>
        </w:rPr>
        <w:t>Incrementar la productividad del sector público mediante la capacitación continua de sus funcionarios</w:t>
      </w:r>
      <w:r w:rsidRPr="00B16609">
        <w:rPr>
          <w:rFonts w:ascii="Arial" w:hAnsi="Arial" w:cs="Arial"/>
          <w:i/>
        </w:rPr>
        <w:t xml:space="preserve"> en áreas clave como tecnología pública, desarrollo de software y ciberseguridad, asegurando que el personal esté preparado para afrontar los desafíos digitales actuales y contribuir al fortalecimiento de los servicios públicos</w:t>
      </w:r>
      <w:r w:rsidRPr="00B16609">
        <w:rPr>
          <w:rFonts w:ascii="Arial" w:hAnsi="Arial" w:cs="Arial"/>
        </w:rPr>
        <w:t xml:space="preserve">”. </w:t>
      </w:r>
    </w:p>
    <w:p w14:paraId="5B363A43"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4A660D8E" w14:textId="77777777" w:rsidR="000D04B5" w:rsidRPr="00B16609" w:rsidRDefault="00D039BE">
      <w:pPr>
        <w:spacing w:after="10"/>
        <w:ind w:left="-5" w:right="0" w:hanging="10"/>
        <w:jc w:val="left"/>
        <w:rPr>
          <w:rFonts w:ascii="Arial" w:hAnsi="Arial" w:cs="Arial"/>
        </w:rPr>
      </w:pPr>
      <w:r w:rsidRPr="00B16609">
        <w:rPr>
          <w:rFonts w:ascii="Arial" w:hAnsi="Arial" w:cs="Arial"/>
          <w:b/>
        </w:rPr>
        <w:t>C.</w:t>
      </w:r>
      <w:r w:rsidRPr="00B16609">
        <w:rPr>
          <w:rFonts w:ascii="Arial" w:eastAsia="Arial" w:hAnsi="Arial" w:cs="Arial"/>
          <w:b/>
        </w:rPr>
        <w:t xml:space="preserve"> </w:t>
      </w:r>
      <w:r w:rsidRPr="00B16609">
        <w:rPr>
          <w:rFonts w:ascii="Arial" w:hAnsi="Arial" w:cs="Arial"/>
          <w:b/>
        </w:rPr>
        <w:t xml:space="preserve">Situación local </w:t>
      </w:r>
    </w:p>
    <w:p w14:paraId="4822EC08"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7EC5DAE0" w14:textId="77777777" w:rsidR="000D04B5" w:rsidRPr="00B16609" w:rsidRDefault="00D039BE">
      <w:pPr>
        <w:ind w:left="-8" w:right="34"/>
        <w:rPr>
          <w:rFonts w:ascii="Arial" w:hAnsi="Arial" w:cs="Arial"/>
        </w:rPr>
      </w:pPr>
      <w:r w:rsidRPr="00B16609">
        <w:rPr>
          <w:rFonts w:ascii="Arial" w:hAnsi="Arial" w:cs="Arial"/>
        </w:rPr>
        <w:t xml:space="preserve">En Yucatán, mientras los principales municipios como Mérida, Progreso o Valladolid están fortaleciendo sus capacidades humanas, en localidades con menos de 10 mil habitantes —que representan más de 70% del total en Yucatán—, los funcionarios municipales pocas veces reciben formación profesional o capacitación continua, lo que limita el desarrollo integral del Estado y agrava la desigualdad entre las diferentes regiones en las que se distribuyen los municipios de la entidad. </w:t>
      </w:r>
    </w:p>
    <w:p w14:paraId="076AB9C4"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24654762" w14:textId="77777777" w:rsidR="000D04B5" w:rsidRPr="00B16609" w:rsidRDefault="00D039BE">
      <w:pPr>
        <w:ind w:left="-8" w:right="34"/>
        <w:rPr>
          <w:rFonts w:ascii="Arial" w:hAnsi="Arial" w:cs="Arial"/>
        </w:rPr>
      </w:pPr>
      <w:r w:rsidRPr="00B16609">
        <w:rPr>
          <w:rFonts w:ascii="Arial" w:hAnsi="Arial" w:cs="Arial"/>
        </w:rPr>
        <w:t xml:space="preserve">Además, de acuerdo con el Censo Nacional de Gobiernos Municipales y Demarcaciones Territoriales de la Ciudad de México 2023, del Instituto Nacional de Geografía y Estadística (INEGI), en Yucatán casi la mitad del personal que labora en los municipios (48.7%) cuenta con estudios de preescolar, primaria o secundaria, mientras que a nivel nacional 40% tiene estudios de nivel secundaria o preparatoria. </w:t>
      </w:r>
    </w:p>
    <w:p w14:paraId="5C703066"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56FDA2ED" w14:textId="77777777" w:rsidR="000D04B5" w:rsidRPr="00B16609" w:rsidRDefault="00D039BE">
      <w:pPr>
        <w:ind w:left="-8" w:right="34"/>
        <w:rPr>
          <w:rFonts w:ascii="Arial" w:hAnsi="Arial" w:cs="Arial"/>
        </w:rPr>
      </w:pPr>
      <w:r w:rsidRPr="00B16609">
        <w:rPr>
          <w:rFonts w:ascii="Arial" w:hAnsi="Arial" w:cs="Arial"/>
        </w:rPr>
        <w:t xml:space="preserve">Las cifras nacionales indican que el nivel de preparatoria agrupa a más personas que laboran en los municipios del país (22.1%), pero en Yucatán el grupo predominante es el de nivel secundaria (24.7%). </w:t>
      </w:r>
    </w:p>
    <w:p w14:paraId="5B605130" w14:textId="77777777" w:rsidR="000D04B5" w:rsidRPr="00B16609" w:rsidRDefault="00D039BE">
      <w:pPr>
        <w:spacing w:after="0" w:line="259" w:lineRule="auto"/>
        <w:ind w:left="0" w:right="1015" w:firstLine="0"/>
        <w:jc w:val="left"/>
        <w:rPr>
          <w:rFonts w:ascii="Arial" w:hAnsi="Arial" w:cs="Arial"/>
        </w:rPr>
      </w:pPr>
      <w:r w:rsidRPr="00B16609">
        <w:rPr>
          <w:rFonts w:ascii="Arial" w:hAnsi="Arial" w:cs="Arial"/>
        </w:rPr>
        <w:t xml:space="preserve"> </w:t>
      </w:r>
    </w:p>
    <w:p w14:paraId="19177847" w14:textId="77777777" w:rsidR="000D04B5" w:rsidRPr="00B16609" w:rsidRDefault="00D039BE">
      <w:pPr>
        <w:spacing w:after="0" w:line="259" w:lineRule="auto"/>
        <w:ind w:left="0" w:right="970" w:firstLine="0"/>
        <w:jc w:val="right"/>
        <w:rPr>
          <w:rFonts w:ascii="Arial" w:hAnsi="Arial" w:cs="Arial"/>
        </w:rPr>
      </w:pPr>
      <w:r w:rsidRPr="00B16609">
        <w:rPr>
          <w:rFonts w:ascii="Arial" w:hAnsi="Arial" w:cs="Arial"/>
          <w:noProof/>
        </w:rPr>
        <w:drawing>
          <wp:inline distT="0" distB="0" distL="0" distR="0" wp14:anchorId="519C3389" wp14:editId="2C96140B">
            <wp:extent cx="4489485" cy="2905760"/>
            <wp:effectExtent l="0" t="0" r="6350" b="2540"/>
            <wp:docPr id="761" name="Picture 761"/>
            <wp:cNvGraphicFramePr/>
            <a:graphic xmlns:a="http://schemas.openxmlformats.org/drawingml/2006/main">
              <a:graphicData uri="http://schemas.openxmlformats.org/drawingml/2006/picture">
                <pic:pic xmlns:pic="http://schemas.openxmlformats.org/drawingml/2006/picture">
                  <pic:nvPicPr>
                    <pic:cNvPr id="761" name="Picture 761"/>
                    <pic:cNvPicPr/>
                  </pic:nvPicPr>
                  <pic:blipFill>
                    <a:blip r:embed="rId7"/>
                    <a:stretch>
                      <a:fillRect/>
                    </a:stretch>
                  </pic:blipFill>
                  <pic:spPr>
                    <a:xfrm>
                      <a:off x="0" y="0"/>
                      <a:ext cx="4509464" cy="2918691"/>
                    </a:xfrm>
                    <a:prstGeom prst="rect">
                      <a:avLst/>
                    </a:prstGeom>
                  </pic:spPr>
                </pic:pic>
              </a:graphicData>
            </a:graphic>
          </wp:inline>
        </w:drawing>
      </w:r>
      <w:r w:rsidRPr="00B16609">
        <w:rPr>
          <w:rFonts w:ascii="Arial" w:hAnsi="Arial" w:cs="Arial"/>
        </w:rPr>
        <w:t xml:space="preserve"> </w:t>
      </w:r>
    </w:p>
    <w:p w14:paraId="346E0D77"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7D07679E" w14:textId="77777777" w:rsidR="000D04B5" w:rsidRPr="00B16609" w:rsidRDefault="00D039BE">
      <w:pPr>
        <w:ind w:left="-8" w:right="34"/>
        <w:rPr>
          <w:rFonts w:ascii="Arial" w:hAnsi="Arial" w:cs="Arial"/>
        </w:rPr>
      </w:pPr>
      <w:r w:rsidRPr="00B16609">
        <w:rPr>
          <w:rFonts w:ascii="Arial" w:hAnsi="Arial" w:cs="Arial"/>
        </w:rPr>
        <w:t xml:space="preserve">El aspecto de género es otro punto que resalta, pues las personas del sexo femenino siguen siendo minoría en los Ayuntamientos del Estado, pese a que presentan una mayor escolaridad que las personas del sexo masculino. </w:t>
      </w:r>
    </w:p>
    <w:p w14:paraId="201F0CFD"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624211A9" w14:textId="77777777" w:rsidR="000D04B5" w:rsidRPr="00B16609" w:rsidRDefault="00D039BE">
      <w:pPr>
        <w:ind w:left="-8" w:right="34"/>
        <w:rPr>
          <w:rFonts w:ascii="Arial" w:hAnsi="Arial" w:cs="Arial"/>
        </w:rPr>
      </w:pPr>
      <w:r w:rsidRPr="00B16609">
        <w:rPr>
          <w:rFonts w:ascii="Arial" w:hAnsi="Arial" w:cs="Arial"/>
        </w:rPr>
        <w:t xml:space="preserve">En los Ayuntamientos del país, 36% del personal son del sexo femenino y el nivel de escolaridad de preparatoria es el grupo con mayor concentración de servidoras públicas municipales (24.4%), seguido del nivel de licenciatura (23.5%). </w:t>
      </w:r>
    </w:p>
    <w:p w14:paraId="1BAC72BD"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41BA772E" w14:textId="77777777" w:rsidR="000D04B5" w:rsidRPr="00B16609" w:rsidRDefault="00D039BE">
      <w:pPr>
        <w:ind w:left="-8" w:right="34"/>
        <w:rPr>
          <w:rFonts w:ascii="Arial" w:hAnsi="Arial" w:cs="Arial"/>
        </w:rPr>
      </w:pPr>
      <w:r w:rsidRPr="00B16609">
        <w:rPr>
          <w:rFonts w:ascii="Arial" w:hAnsi="Arial" w:cs="Arial"/>
        </w:rPr>
        <w:t xml:space="preserve">En Yucatán, las mujeres son el 40% de quienes integran los Ayuntamientos, 4 puntos porcentuales mayor que en las cifras nacionales, aunque siguen siendo minoría, en comparación con el personal masculino. </w:t>
      </w:r>
    </w:p>
    <w:p w14:paraId="297AF43B"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6CF85113" w14:textId="77777777" w:rsidR="000D04B5" w:rsidRPr="00B16609" w:rsidRDefault="00D039BE">
      <w:pPr>
        <w:ind w:left="-8" w:right="34"/>
        <w:rPr>
          <w:rFonts w:ascii="Arial" w:hAnsi="Arial" w:cs="Arial"/>
        </w:rPr>
      </w:pPr>
      <w:r w:rsidRPr="00B16609">
        <w:rPr>
          <w:rFonts w:ascii="Arial" w:hAnsi="Arial" w:cs="Arial"/>
        </w:rPr>
        <w:t xml:space="preserve">El nivel de escolaridad de secundaria es el grupo con mayor concentración de servidoras públicas municipales (27.4%), seguido del nivel de prescolar o primaria (24.4%), a diferencia del personal masculino de los Ayuntamientos, pues entre ellos el nivel de escolaridad de preescolar y primaria es el grupo con mayor concentración (25.6%), seguido del de secundaria (24.9%). </w:t>
      </w:r>
    </w:p>
    <w:p w14:paraId="0D4B3759"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199704F6" w14:textId="77777777" w:rsidR="000D04B5" w:rsidRPr="00B16609" w:rsidRDefault="00D039BE">
      <w:pPr>
        <w:ind w:left="-8" w:right="34"/>
        <w:rPr>
          <w:rFonts w:ascii="Arial" w:hAnsi="Arial" w:cs="Arial"/>
        </w:rPr>
      </w:pPr>
      <w:r w:rsidRPr="00B16609">
        <w:rPr>
          <w:rFonts w:ascii="Arial" w:hAnsi="Arial" w:cs="Arial"/>
        </w:rPr>
        <w:t xml:space="preserve">Además, en Yucatán las servidoras públicas municipales con licenciatura forman el 11.9% del personal municipal, mientras que entre los hombres sólo es del 9.2%. </w:t>
      </w:r>
    </w:p>
    <w:p w14:paraId="51A60A9D" w14:textId="77777777" w:rsidR="000D04B5" w:rsidRPr="00B16609" w:rsidRDefault="00D039BE">
      <w:pPr>
        <w:spacing w:after="0" w:line="259" w:lineRule="auto"/>
        <w:ind w:left="0" w:right="1625" w:firstLine="0"/>
        <w:jc w:val="left"/>
        <w:rPr>
          <w:rFonts w:ascii="Arial" w:hAnsi="Arial" w:cs="Arial"/>
        </w:rPr>
      </w:pPr>
      <w:r w:rsidRPr="00B16609">
        <w:rPr>
          <w:rFonts w:ascii="Arial" w:hAnsi="Arial" w:cs="Arial"/>
        </w:rPr>
        <w:t xml:space="preserve"> </w:t>
      </w:r>
    </w:p>
    <w:p w14:paraId="69F1FA2E" w14:textId="77777777" w:rsidR="000D04B5" w:rsidRPr="00B16609" w:rsidRDefault="00D039BE">
      <w:pPr>
        <w:spacing w:after="0" w:line="259" w:lineRule="auto"/>
        <w:ind w:left="1580" w:right="0" w:firstLine="0"/>
        <w:jc w:val="left"/>
        <w:rPr>
          <w:rFonts w:ascii="Arial" w:hAnsi="Arial" w:cs="Arial"/>
        </w:rPr>
      </w:pPr>
      <w:r w:rsidRPr="00B16609">
        <w:rPr>
          <w:rFonts w:ascii="Arial" w:hAnsi="Arial" w:cs="Arial"/>
          <w:noProof/>
        </w:rPr>
        <w:drawing>
          <wp:inline distT="0" distB="0" distL="0" distR="0" wp14:anchorId="5F3A2038" wp14:editId="53F2E945">
            <wp:extent cx="3608071" cy="3475838"/>
            <wp:effectExtent l="0" t="0" r="0" b="0"/>
            <wp:docPr id="833" name="Picture 833"/>
            <wp:cNvGraphicFramePr/>
            <a:graphic xmlns:a="http://schemas.openxmlformats.org/drawingml/2006/main">
              <a:graphicData uri="http://schemas.openxmlformats.org/drawingml/2006/picture">
                <pic:pic xmlns:pic="http://schemas.openxmlformats.org/drawingml/2006/picture">
                  <pic:nvPicPr>
                    <pic:cNvPr id="833" name="Picture 833"/>
                    <pic:cNvPicPr/>
                  </pic:nvPicPr>
                  <pic:blipFill>
                    <a:blip r:embed="rId8"/>
                    <a:stretch>
                      <a:fillRect/>
                    </a:stretch>
                  </pic:blipFill>
                  <pic:spPr>
                    <a:xfrm>
                      <a:off x="0" y="0"/>
                      <a:ext cx="3608071" cy="3475838"/>
                    </a:xfrm>
                    <a:prstGeom prst="rect">
                      <a:avLst/>
                    </a:prstGeom>
                  </pic:spPr>
                </pic:pic>
              </a:graphicData>
            </a:graphic>
          </wp:inline>
        </w:drawing>
      </w:r>
      <w:r w:rsidRPr="00B16609">
        <w:rPr>
          <w:rFonts w:ascii="Arial" w:hAnsi="Arial" w:cs="Arial"/>
        </w:rPr>
        <w:t xml:space="preserve"> </w:t>
      </w:r>
    </w:p>
    <w:p w14:paraId="0317AC0D" w14:textId="77777777" w:rsidR="000D04B5" w:rsidRPr="00B16609" w:rsidRDefault="00D039BE">
      <w:pPr>
        <w:ind w:left="-8" w:right="34"/>
        <w:rPr>
          <w:rFonts w:ascii="Arial" w:hAnsi="Arial" w:cs="Arial"/>
        </w:rPr>
      </w:pPr>
      <w:r w:rsidRPr="00B16609">
        <w:rPr>
          <w:rFonts w:ascii="Arial" w:hAnsi="Arial" w:cs="Arial"/>
        </w:rPr>
        <w:t>En ese sentido, en el Plan Estatal de Desarrollo Renacimiento Maya se establece la “</w:t>
      </w:r>
      <w:r w:rsidRPr="00B16609">
        <w:rPr>
          <w:rFonts w:ascii="Arial" w:hAnsi="Arial" w:cs="Arial"/>
          <w:i/>
        </w:rPr>
        <w:t>Directriz 1: Gobierno Honesto, Humanista y Cercano al Pueblo</w:t>
      </w:r>
      <w:r w:rsidRPr="00B16609">
        <w:rPr>
          <w:rFonts w:ascii="Arial" w:hAnsi="Arial" w:cs="Arial"/>
        </w:rPr>
        <w:t xml:space="preserve">”, donde se establecen las bases para atender los compromisos internacionales, en el ámbito subnacional, así como para coadyuvar al desarrollo del país. </w:t>
      </w:r>
    </w:p>
    <w:p w14:paraId="3E30336F"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5A31F275" w14:textId="77777777" w:rsidR="000D04B5" w:rsidRPr="00B16609" w:rsidRDefault="00D039BE">
      <w:pPr>
        <w:spacing w:after="2" w:line="240" w:lineRule="auto"/>
        <w:ind w:left="-5" w:right="34" w:hanging="10"/>
        <w:rPr>
          <w:rFonts w:ascii="Arial" w:hAnsi="Arial" w:cs="Arial"/>
        </w:rPr>
      </w:pPr>
      <w:r w:rsidRPr="00B16609">
        <w:rPr>
          <w:rFonts w:ascii="Arial" w:hAnsi="Arial" w:cs="Arial"/>
        </w:rPr>
        <w:t>Así, en el apartado “</w:t>
      </w:r>
      <w:r w:rsidRPr="00B16609">
        <w:rPr>
          <w:rFonts w:ascii="Arial" w:hAnsi="Arial" w:cs="Arial"/>
          <w:i/>
        </w:rPr>
        <w:t>1.1. Honestidad</w:t>
      </w:r>
      <w:r w:rsidRPr="00B16609">
        <w:rPr>
          <w:rFonts w:ascii="Arial" w:hAnsi="Arial" w:cs="Arial"/>
        </w:rPr>
        <w:t>” se incluye el Objetivo estratégico 1.1.1: “</w:t>
      </w:r>
      <w:r w:rsidRPr="00B16609">
        <w:rPr>
          <w:rFonts w:ascii="Arial" w:hAnsi="Arial" w:cs="Arial"/>
          <w:i/>
        </w:rPr>
        <w:t>Mejorar los mecanismos de control y supervisión para prevenir actos deshonestos en la función pública</w:t>
      </w:r>
      <w:r w:rsidRPr="00B16609">
        <w:rPr>
          <w:rFonts w:ascii="Arial" w:hAnsi="Arial" w:cs="Arial"/>
        </w:rPr>
        <w:t>”, así como el Objetivo específico 1.1.1.1: “</w:t>
      </w:r>
      <w:r w:rsidRPr="00B16609">
        <w:rPr>
          <w:rFonts w:ascii="Arial" w:hAnsi="Arial" w:cs="Arial"/>
          <w:i/>
        </w:rPr>
        <w:t>Capacitar a los funcionarios sobre normas éticas y principios de integridad en la gestión pública</w:t>
      </w:r>
      <w:r w:rsidRPr="00B16609">
        <w:rPr>
          <w:rFonts w:ascii="Arial" w:hAnsi="Arial" w:cs="Arial"/>
        </w:rPr>
        <w:t xml:space="preserve">”. </w:t>
      </w:r>
    </w:p>
    <w:p w14:paraId="492F47C6"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35E14588" w14:textId="77777777" w:rsidR="000D04B5" w:rsidRPr="00B16609" w:rsidRDefault="00D039BE" w:rsidP="00006C7D">
      <w:pPr>
        <w:spacing w:after="2" w:line="240" w:lineRule="auto"/>
        <w:ind w:left="-5" w:right="34" w:hanging="10"/>
        <w:rPr>
          <w:rFonts w:ascii="Arial" w:hAnsi="Arial" w:cs="Arial"/>
        </w:rPr>
      </w:pPr>
      <w:r w:rsidRPr="00B16609">
        <w:rPr>
          <w:rFonts w:ascii="Arial" w:hAnsi="Arial" w:cs="Arial"/>
        </w:rPr>
        <w:t>Para ello, se propone la Línea de Acción “</w:t>
      </w:r>
      <w:r w:rsidRPr="00B16609">
        <w:rPr>
          <w:rFonts w:ascii="Arial" w:hAnsi="Arial" w:cs="Arial"/>
          <w:i/>
        </w:rPr>
        <w:t>1.1.1.1.1 Desarrollar programas de formación en ética pública y combate a la corrupción</w:t>
      </w:r>
      <w:r w:rsidRPr="00B16609">
        <w:rPr>
          <w:rFonts w:ascii="Arial" w:hAnsi="Arial" w:cs="Arial"/>
        </w:rPr>
        <w:t xml:space="preserve">”. </w:t>
      </w:r>
    </w:p>
    <w:p w14:paraId="1E353AA4" w14:textId="77777777" w:rsidR="000D04B5" w:rsidRPr="00B16609" w:rsidRDefault="00D039BE" w:rsidP="00006C7D">
      <w:pPr>
        <w:spacing w:after="0" w:line="259" w:lineRule="auto"/>
        <w:ind w:left="0" w:right="0" w:firstLine="0"/>
        <w:rPr>
          <w:rFonts w:ascii="Arial" w:hAnsi="Arial" w:cs="Arial"/>
        </w:rPr>
      </w:pPr>
      <w:r w:rsidRPr="00B16609">
        <w:rPr>
          <w:rFonts w:ascii="Arial" w:hAnsi="Arial" w:cs="Arial"/>
        </w:rPr>
        <w:t xml:space="preserve"> </w:t>
      </w:r>
    </w:p>
    <w:p w14:paraId="7B175CF2" w14:textId="77777777" w:rsidR="000D04B5" w:rsidRPr="00B16609" w:rsidRDefault="00D039BE" w:rsidP="00006C7D">
      <w:pPr>
        <w:spacing w:after="0" w:line="240" w:lineRule="auto"/>
        <w:ind w:left="-5" w:right="0" w:hanging="10"/>
        <w:rPr>
          <w:rFonts w:ascii="Arial" w:hAnsi="Arial" w:cs="Arial"/>
        </w:rPr>
      </w:pPr>
      <w:r w:rsidRPr="00B16609">
        <w:rPr>
          <w:rFonts w:ascii="Arial" w:hAnsi="Arial" w:cs="Arial"/>
        </w:rPr>
        <w:t>De igual manera, se establece el apartado “</w:t>
      </w:r>
      <w:r w:rsidRPr="00B16609">
        <w:rPr>
          <w:rFonts w:ascii="Arial" w:hAnsi="Arial" w:cs="Arial"/>
          <w:i/>
        </w:rPr>
        <w:t>1.3. Instituciones con resultados de valor y participación ciudadana</w:t>
      </w:r>
      <w:r w:rsidRPr="00B16609">
        <w:rPr>
          <w:rFonts w:ascii="Arial" w:hAnsi="Arial" w:cs="Arial"/>
        </w:rPr>
        <w:t>”, cuyo Objetivo estratégico 1.3.1. fija el compromiso de “</w:t>
      </w:r>
      <w:r w:rsidRPr="00B16609">
        <w:rPr>
          <w:rFonts w:ascii="Arial" w:hAnsi="Arial" w:cs="Arial"/>
          <w:i/>
        </w:rPr>
        <w:t xml:space="preserve">Optimizar </w:t>
      </w:r>
      <w:r w:rsidRPr="00B16609">
        <w:rPr>
          <w:rFonts w:ascii="Arial" w:hAnsi="Arial" w:cs="Arial"/>
          <w:i/>
        </w:rPr>
        <w:tab/>
        <w:t xml:space="preserve">la </w:t>
      </w:r>
      <w:r w:rsidRPr="00B16609">
        <w:rPr>
          <w:rFonts w:ascii="Arial" w:hAnsi="Arial" w:cs="Arial"/>
          <w:i/>
        </w:rPr>
        <w:tab/>
        <w:t xml:space="preserve">articulación </w:t>
      </w:r>
      <w:r w:rsidRPr="00B16609">
        <w:rPr>
          <w:rFonts w:ascii="Arial" w:hAnsi="Arial" w:cs="Arial"/>
          <w:i/>
        </w:rPr>
        <w:tab/>
        <w:t xml:space="preserve">entre </w:t>
      </w:r>
      <w:r w:rsidRPr="00B16609">
        <w:rPr>
          <w:rFonts w:ascii="Arial" w:hAnsi="Arial" w:cs="Arial"/>
          <w:i/>
        </w:rPr>
        <w:tab/>
        <w:t xml:space="preserve">instituciones </w:t>
      </w:r>
      <w:r w:rsidRPr="00B16609">
        <w:rPr>
          <w:rFonts w:ascii="Arial" w:hAnsi="Arial" w:cs="Arial"/>
          <w:i/>
        </w:rPr>
        <w:tab/>
        <w:t xml:space="preserve">gubernamentales </w:t>
      </w:r>
      <w:r w:rsidRPr="00B16609">
        <w:rPr>
          <w:rFonts w:ascii="Arial" w:hAnsi="Arial" w:cs="Arial"/>
          <w:i/>
        </w:rPr>
        <w:tab/>
        <w:t xml:space="preserve">para </w:t>
      </w:r>
      <w:r w:rsidRPr="00B16609">
        <w:rPr>
          <w:rFonts w:ascii="Arial" w:hAnsi="Arial" w:cs="Arial"/>
          <w:i/>
        </w:rPr>
        <w:tab/>
        <w:t>reducir duplicidades y mejorar la eficiencia operativa</w:t>
      </w:r>
      <w:r w:rsidRPr="00B16609">
        <w:rPr>
          <w:rFonts w:ascii="Arial" w:hAnsi="Arial" w:cs="Arial"/>
        </w:rPr>
        <w:t xml:space="preserve">”, así como los Objetivos específicos “1.3.1.1. </w:t>
      </w:r>
      <w:r w:rsidRPr="00B16609">
        <w:rPr>
          <w:rFonts w:ascii="Arial" w:hAnsi="Arial" w:cs="Arial"/>
          <w:i/>
        </w:rPr>
        <w:t>Definir un mapa de competencias institucionales que delimite funciones y responsabilidades</w:t>
      </w:r>
      <w:r w:rsidRPr="00B16609">
        <w:rPr>
          <w:rFonts w:ascii="Arial" w:hAnsi="Arial" w:cs="Arial"/>
        </w:rPr>
        <w:t>” y</w:t>
      </w:r>
      <w:r w:rsidRPr="00B16609">
        <w:rPr>
          <w:rFonts w:ascii="Arial" w:hAnsi="Arial" w:cs="Arial"/>
          <w:i/>
        </w:rPr>
        <w:t xml:space="preserve"> </w:t>
      </w:r>
      <w:r w:rsidRPr="00B16609">
        <w:rPr>
          <w:rFonts w:ascii="Arial" w:hAnsi="Arial" w:cs="Arial"/>
        </w:rPr>
        <w:t>“</w:t>
      </w:r>
      <w:r w:rsidRPr="00B16609">
        <w:rPr>
          <w:rFonts w:ascii="Arial" w:hAnsi="Arial" w:cs="Arial"/>
          <w:i/>
        </w:rPr>
        <w:t>1.3.1.2. Establecer mecanismos de coordinación institucional con objetivos y metas conjuntas</w:t>
      </w:r>
      <w:r w:rsidRPr="00B16609">
        <w:rPr>
          <w:rFonts w:ascii="Arial" w:hAnsi="Arial" w:cs="Arial"/>
        </w:rPr>
        <w:t>”.</w:t>
      </w:r>
      <w:r w:rsidRPr="00B16609">
        <w:rPr>
          <w:rFonts w:ascii="Arial" w:hAnsi="Arial" w:cs="Arial"/>
          <w:i/>
        </w:rPr>
        <w:t xml:space="preserve"> </w:t>
      </w:r>
    </w:p>
    <w:p w14:paraId="4A55B908" w14:textId="77777777" w:rsidR="000D04B5" w:rsidRPr="00B16609" w:rsidRDefault="00D039BE" w:rsidP="00006C7D">
      <w:pPr>
        <w:spacing w:after="0" w:line="259" w:lineRule="auto"/>
        <w:ind w:left="0" w:right="0" w:firstLine="0"/>
        <w:rPr>
          <w:rFonts w:ascii="Arial" w:hAnsi="Arial" w:cs="Arial"/>
        </w:rPr>
      </w:pPr>
      <w:r w:rsidRPr="00B16609">
        <w:rPr>
          <w:rFonts w:ascii="Arial" w:hAnsi="Arial" w:cs="Arial"/>
        </w:rPr>
        <w:t xml:space="preserve"> </w:t>
      </w:r>
    </w:p>
    <w:p w14:paraId="55A8512E" w14:textId="77777777" w:rsidR="000D04B5" w:rsidRPr="00B16609" w:rsidRDefault="00D039BE" w:rsidP="00006C7D">
      <w:pPr>
        <w:spacing w:after="0" w:line="240" w:lineRule="auto"/>
        <w:ind w:left="-5" w:right="0" w:hanging="10"/>
        <w:rPr>
          <w:rFonts w:ascii="Arial" w:hAnsi="Arial" w:cs="Arial"/>
        </w:rPr>
      </w:pPr>
      <w:r w:rsidRPr="00B16609">
        <w:rPr>
          <w:rFonts w:ascii="Arial" w:hAnsi="Arial" w:cs="Arial"/>
        </w:rPr>
        <w:t>Para ello, se propone las Líneas de Acción: “</w:t>
      </w:r>
      <w:r w:rsidRPr="00B16609">
        <w:rPr>
          <w:rFonts w:ascii="Arial" w:hAnsi="Arial" w:cs="Arial"/>
          <w:i/>
        </w:rPr>
        <w:t xml:space="preserve">1.3.1.1.1 Identificar áreas de competencia exclusiva de cada dependencia; 1.3.1.1.2 Eliminar funciones duplicadas entre dependencias </w:t>
      </w:r>
      <w:r w:rsidRPr="00B16609">
        <w:rPr>
          <w:rFonts w:ascii="Arial" w:hAnsi="Arial" w:cs="Arial"/>
          <w:i/>
        </w:rPr>
        <w:tab/>
        <w:t xml:space="preserve">para </w:t>
      </w:r>
      <w:r w:rsidRPr="00B16609">
        <w:rPr>
          <w:rFonts w:ascii="Arial" w:hAnsi="Arial" w:cs="Arial"/>
          <w:i/>
        </w:rPr>
        <w:tab/>
        <w:t xml:space="preserve">optimizar </w:t>
      </w:r>
      <w:r w:rsidRPr="00B16609">
        <w:rPr>
          <w:rFonts w:ascii="Arial" w:hAnsi="Arial" w:cs="Arial"/>
          <w:i/>
        </w:rPr>
        <w:tab/>
        <w:t xml:space="preserve">recursos, </w:t>
      </w:r>
      <w:r w:rsidRPr="00B16609">
        <w:rPr>
          <w:rFonts w:ascii="Arial" w:hAnsi="Arial" w:cs="Arial"/>
          <w:i/>
        </w:rPr>
        <w:tab/>
        <w:t xml:space="preserve">y </w:t>
      </w:r>
      <w:r w:rsidRPr="00B16609">
        <w:rPr>
          <w:rFonts w:ascii="Arial" w:hAnsi="Arial" w:cs="Arial"/>
          <w:i/>
        </w:rPr>
        <w:tab/>
        <w:t xml:space="preserve">1.3.1.1.3 </w:t>
      </w:r>
      <w:r w:rsidRPr="00B16609">
        <w:rPr>
          <w:rFonts w:ascii="Arial" w:hAnsi="Arial" w:cs="Arial"/>
          <w:i/>
        </w:rPr>
        <w:tab/>
        <w:t xml:space="preserve">Reestructurar </w:t>
      </w:r>
      <w:r w:rsidRPr="00B16609">
        <w:rPr>
          <w:rFonts w:ascii="Arial" w:hAnsi="Arial" w:cs="Arial"/>
          <w:i/>
        </w:rPr>
        <w:tab/>
        <w:t>procesos administrativos con base en el mapa de competencias</w:t>
      </w:r>
      <w:r w:rsidRPr="00B16609">
        <w:rPr>
          <w:rFonts w:ascii="Arial" w:hAnsi="Arial" w:cs="Arial"/>
        </w:rPr>
        <w:t>”; así como “</w:t>
      </w:r>
      <w:r w:rsidRPr="00B16609">
        <w:rPr>
          <w:rFonts w:ascii="Arial" w:hAnsi="Arial" w:cs="Arial"/>
          <w:i/>
        </w:rPr>
        <w:t>1.3.1.2.1 Crear mesas técnicas de trabajo interinstitucional para alinear acciones; 1.3.1.2.2 Formalizar acuerdos de colaboración entre secretarías con funciones relacionadas, y 1.3.1.2.3 Evaluar periódicamente la efectividad de los mecanismos de coordinación</w:t>
      </w:r>
      <w:r w:rsidRPr="00B16609">
        <w:rPr>
          <w:rFonts w:ascii="Arial" w:hAnsi="Arial" w:cs="Arial"/>
        </w:rPr>
        <w:t xml:space="preserve">”. </w:t>
      </w:r>
    </w:p>
    <w:p w14:paraId="353F336B"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54A46450" w14:textId="6660EEF9" w:rsidR="000D04B5" w:rsidRPr="00B16609" w:rsidRDefault="00D039BE" w:rsidP="005B3146">
      <w:pPr>
        <w:rPr>
          <w:rFonts w:ascii="Arial" w:hAnsi="Arial" w:cs="Arial"/>
        </w:rPr>
      </w:pPr>
      <w:r w:rsidRPr="00B16609">
        <w:rPr>
          <w:rFonts w:ascii="Arial" w:hAnsi="Arial" w:cs="Arial"/>
        </w:rPr>
        <w:t xml:space="preserve">Por todo lo anterior, se plantea la presente iniciativa de reforma a la Ley de Gobierno de los Municipios del Estado de Yucatán, una propuesta que es jurídicamente viable, presupuestalmente sostenible y socialmente necesaria, un paso firme hacia la </w:t>
      </w:r>
      <w:r w:rsidR="005B3146" w:rsidRPr="00B16609">
        <w:rPr>
          <w:rFonts w:ascii="Arial" w:hAnsi="Arial" w:cs="Arial"/>
        </w:rPr>
        <w:t>c</w:t>
      </w:r>
      <w:r w:rsidRPr="00B16609">
        <w:rPr>
          <w:rFonts w:ascii="Arial" w:hAnsi="Arial" w:cs="Arial"/>
        </w:rPr>
        <w:t xml:space="preserve">onstrucción de gobiernos </w:t>
      </w:r>
      <w:r w:rsidRPr="00B16609">
        <w:rPr>
          <w:rFonts w:ascii="Arial" w:hAnsi="Arial" w:cs="Arial"/>
        </w:rPr>
        <w:tab/>
        <w:t xml:space="preserve">municipales </w:t>
      </w:r>
      <w:r w:rsidRPr="00B16609">
        <w:rPr>
          <w:rFonts w:ascii="Arial" w:hAnsi="Arial" w:cs="Arial"/>
        </w:rPr>
        <w:tab/>
        <w:t xml:space="preserve">más </w:t>
      </w:r>
      <w:r w:rsidRPr="00B16609">
        <w:rPr>
          <w:rFonts w:ascii="Arial" w:hAnsi="Arial" w:cs="Arial"/>
        </w:rPr>
        <w:tab/>
        <w:t>eficientes,democráticos</w:t>
      </w:r>
      <w:r w:rsidR="00006C7D" w:rsidRPr="00B16609">
        <w:rPr>
          <w:rFonts w:ascii="Arial" w:hAnsi="Arial" w:cs="Arial"/>
        </w:rPr>
        <w:t xml:space="preserve"> </w:t>
      </w:r>
      <w:r w:rsidRPr="00B16609">
        <w:rPr>
          <w:rFonts w:ascii="Arial" w:hAnsi="Arial" w:cs="Arial"/>
        </w:rPr>
        <w:t xml:space="preserve">y comprometidos con el servicio público, al tiempo que contribuye a mejorar la prestación de los servicios públicos que recibe la ciudadanía. </w:t>
      </w:r>
    </w:p>
    <w:p w14:paraId="41A9461A"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15F322A6" w14:textId="77777777" w:rsidR="000D04B5" w:rsidRPr="00B16609" w:rsidRDefault="00D039BE">
      <w:pPr>
        <w:ind w:left="-8" w:right="34"/>
        <w:rPr>
          <w:rFonts w:ascii="Arial" w:hAnsi="Arial" w:cs="Arial"/>
        </w:rPr>
      </w:pPr>
      <w:r w:rsidRPr="00B16609">
        <w:rPr>
          <w:rFonts w:ascii="Arial" w:hAnsi="Arial" w:cs="Arial"/>
        </w:rPr>
        <w:t xml:space="preserve">La propuesta incluye la adición de un inciso F al artículo 41, estableciendo como atribuciones de los Ayuntamientos garantizar la certificación de competencias laborales de las personas titulares de sus dependencias y entidades; además del desarrollo de programas de formación, capacitación y profesionalización del servicio público. </w:t>
      </w:r>
    </w:p>
    <w:p w14:paraId="2B84ED8F" w14:textId="77777777" w:rsidR="000D04B5" w:rsidRPr="00B16609" w:rsidRDefault="00D039BE">
      <w:pPr>
        <w:ind w:left="-8" w:right="34"/>
        <w:rPr>
          <w:rFonts w:ascii="Arial" w:hAnsi="Arial" w:cs="Arial"/>
        </w:rPr>
      </w:pPr>
      <w:r w:rsidRPr="00B16609">
        <w:rPr>
          <w:rFonts w:ascii="Arial" w:hAnsi="Arial" w:cs="Arial"/>
        </w:rPr>
        <w:t xml:space="preserve">También se adiciona el artículo 136 Bis para establecer la obligatoriedad de la certificación, conforme al Sistema Nacional de Competencias, para las personas que pretendan ocupar cargos de dirección en los Ayuntamientos, previo al comienzo de sus funciones. </w:t>
      </w:r>
    </w:p>
    <w:p w14:paraId="259A43B8"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2A24A93C" w14:textId="77777777" w:rsidR="000D04B5" w:rsidRPr="00B16609" w:rsidRDefault="00D039BE">
      <w:pPr>
        <w:ind w:left="-8" w:right="34"/>
        <w:rPr>
          <w:rFonts w:ascii="Arial" w:hAnsi="Arial" w:cs="Arial"/>
        </w:rPr>
      </w:pPr>
      <w:r w:rsidRPr="00B16609">
        <w:rPr>
          <w:rFonts w:ascii="Arial" w:hAnsi="Arial" w:cs="Arial"/>
        </w:rPr>
        <w:t xml:space="preserve">Se adiciona el artículo 136 Ter para establecer instrumentos de coordinación entre los Ayuntamientos, la Secretaría de Educación y el Instituto de Desarrollo Regional y Municipal, con el fin de facilitar el proceso de certificación. </w:t>
      </w:r>
    </w:p>
    <w:p w14:paraId="5B7D2FE6"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6CA360DF" w14:textId="77777777" w:rsidR="000D04B5" w:rsidRPr="00B16609" w:rsidRDefault="00D039BE">
      <w:pPr>
        <w:ind w:left="-8" w:right="34"/>
        <w:rPr>
          <w:rFonts w:ascii="Arial" w:hAnsi="Arial" w:cs="Arial"/>
        </w:rPr>
      </w:pPr>
      <w:r w:rsidRPr="00B16609">
        <w:rPr>
          <w:rFonts w:ascii="Arial" w:hAnsi="Arial" w:cs="Arial"/>
        </w:rPr>
        <w:t xml:space="preserve">Se agrega el artículo 136 Quáter para que cada Ayuntamiento lleve un registro de servidores públicos con certificación, mismo que deberán de mantener actualizado y con cierta información mínima, con fines de homologación y estadísticos. </w:t>
      </w:r>
    </w:p>
    <w:p w14:paraId="52C82E71"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64AA8063" w14:textId="77777777" w:rsidR="000D04B5" w:rsidRPr="00B16609" w:rsidRDefault="00D039BE">
      <w:pPr>
        <w:ind w:left="-8" w:right="34"/>
        <w:rPr>
          <w:rFonts w:ascii="Arial" w:hAnsi="Arial" w:cs="Arial"/>
        </w:rPr>
      </w:pPr>
      <w:r w:rsidRPr="00B16609">
        <w:rPr>
          <w:rFonts w:ascii="Arial" w:hAnsi="Arial" w:cs="Arial"/>
        </w:rPr>
        <w:t xml:space="preserve">Por último, se adiciona el artículo 136 Quinquies para sancionar el incumplimiento de todas estas obligaciones, conforme la Ley de Responsabilidades Administrativas del Estado de Yucatán. </w:t>
      </w:r>
    </w:p>
    <w:p w14:paraId="7C0C3FE9"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7CFCC7B3" w14:textId="77777777" w:rsidR="000D04B5" w:rsidRPr="00B16609" w:rsidRDefault="00D039BE">
      <w:pPr>
        <w:ind w:left="-8" w:right="34"/>
        <w:rPr>
          <w:rFonts w:ascii="Arial" w:hAnsi="Arial" w:cs="Arial"/>
        </w:rPr>
      </w:pPr>
      <w:r w:rsidRPr="00B16609">
        <w:rPr>
          <w:rFonts w:ascii="Arial" w:hAnsi="Arial" w:cs="Arial"/>
        </w:rPr>
        <w:t xml:space="preserve">Como se señaló al principio de la exposición de motivos, si bien el objeto principal de la reforma es la certificación de los servidores públicos, también resulta importante destacar que se incluyen diversas aportaciones del Instituto de Desarrollo Regional y Municipal, que vienen a fortalecerla y enriquecerla. </w:t>
      </w:r>
    </w:p>
    <w:p w14:paraId="08861A30"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1BA7562B" w14:textId="77777777" w:rsidR="000D04B5" w:rsidRPr="00B16609" w:rsidRDefault="00D039BE">
      <w:pPr>
        <w:ind w:left="-8" w:right="34"/>
        <w:rPr>
          <w:rFonts w:ascii="Arial" w:hAnsi="Arial" w:cs="Arial"/>
        </w:rPr>
      </w:pPr>
      <w:r w:rsidRPr="00B16609">
        <w:rPr>
          <w:rFonts w:ascii="Arial" w:hAnsi="Arial" w:cs="Arial"/>
        </w:rPr>
        <w:t xml:space="preserve">Uno de los temas que se incluyen y que se relaciona con la profesionalización y la certificación de los servidores públicos municipales es el relacionado con los asesores municipales, cuya contratación muchas veces está vinculada con la falta de los conocimientos académicos o técnicos necesarios de los altos mandos directivos del Ayuntamiento. </w:t>
      </w:r>
    </w:p>
    <w:p w14:paraId="7DA161F8"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333869B2" w14:textId="77777777" w:rsidR="000D04B5" w:rsidRPr="00B16609" w:rsidRDefault="00D039BE" w:rsidP="0043731B">
      <w:pPr>
        <w:spacing w:after="0" w:line="240" w:lineRule="auto"/>
        <w:ind w:left="-5" w:right="34" w:hanging="10"/>
        <w:rPr>
          <w:rFonts w:ascii="Arial" w:hAnsi="Arial" w:cs="Arial"/>
        </w:rPr>
      </w:pPr>
      <w:r w:rsidRPr="00B16609">
        <w:rPr>
          <w:rFonts w:ascii="Arial" w:hAnsi="Arial" w:cs="Arial"/>
        </w:rPr>
        <w:t xml:space="preserve">En ese sentido, se reforma la fracción V del artículo 55 para trasladar a una nueva fracción XI Bis del artículo 56, como parte de las obligaciones de los presidentes municipales, la exigencia que ya tenían los Ayuntamientos de informar al Congreso sobre los asesores municipales contratados, pero ahora, además, se deja clara la obligación del Poder Legislativo de llevar un padrón de dichos prestadores de servicios. </w:t>
      </w:r>
    </w:p>
    <w:p w14:paraId="163B9C38"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tbl>
      <w:tblPr>
        <w:tblStyle w:val="TableGrid"/>
        <w:tblW w:w="8837" w:type="dxa"/>
        <w:tblInd w:w="0" w:type="dxa"/>
        <w:tblLook w:val="04A0" w:firstRow="1" w:lastRow="0" w:firstColumn="1" w:lastColumn="0" w:noHBand="0" w:noVBand="1"/>
      </w:tblPr>
      <w:tblGrid>
        <w:gridCol w:w="8837"/>
      </w:tblGrid>
      <w:tr w:rsidR="000D04B5" w:rsidRPr="00B16609" w14:paraId="726F1076" w14:textId="77777777" w:rsidTr="0043731B">
        <w:trPr>
          <w:trHeight w:val="586"/>
        </w:trPr>
        <w:tc>
          <w:tcPr>
            <w:tcW w:w="8837" w:type="dxa"/>
            <w:tcBorders>
              <w:top w:val="nil"/>
              <w:left w:val="nil"/>
              <w:bottom w:val="nil"/>
              <w:right w:val="nil"/>
            </w:tcBorders>
            <w:shd w:val="clear" w:color="auto" w:fill="auto"/>
          </w:tcPr>
          <w:p w14:paraId="07E4DFEC" w14:textId="06F8AFDB" w:rsidR="000D04B5" w:rsidRPr="00B16609" w:rsidRDefault="00D039BE">
            <w:pPr>
              <w:spacing w:after="0" w:line="259" w:lineRule="auto"/>
              <w:ind w:left="0" w:right="-3" w:firstLine="0"/>
              <w:rPr>
                <w:rFonts w:ascii="Arial" w:hAnsi="Arial" w:cs="Arial"/>
              </w:rPr>
            </w:pPr>
            <w:r w:rsidRPr="00B16609">
              <w:rPr>
                <w:rFonts w:ascii="Arial" w:hAnsi="Arial" w:cs="Arial"/>
              </w:rPr>
              <w:t xml:space="preserve">Como complemento, se adicionan las fracciones X y XI al artículo 71 Ter, para que quienes pretendan ofrecer servicios de asesoría a los Ayuntamientos deban registrarse </w:t>
            </w:r>
            <w:r w:rsidR="0043731B" w:rsidRPr="00B16609">
              <w:rPr>
                <w:rFonts w:ascii="Arial" w:hAnsi="Arial" w:cs="Arial"/>
              </w:rPr>
              <w:t>previamente en el citado padrón legislativo</w:t>
            </w:r>
          </w:p>
        </w:tc>
      </w:tr>
    </w:tbl>
    <w:p w14:paraId="247B7856"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2FC441AD" w14:textId="2C4D1D93" w:rsidR="000D04B5" w:rsidRPr="00B16609" w:rsidRDefault="00D039BE" w:rsidP="0043731B">
      <w:pPr>
        <w:spacing w:after="0" w:line="240" w:lineRule="auto"/>
        <w:ind w:left="-5" w:right="34" w:hanging="10"/>
        <w:rPr>
          <w:rFonts w:ascii="Arial" w:hAnsi="Arial" w:cs="Arial"/>
        </w:rPr>
      </w:pPr>
      <w:r w:rsidRPr="00B16609">
        <w:rPr>
          <w:rFonts w:ascii="Arial" w:hAnsi="Arial" w:cs="Arial"/>
        </w:rPr>
        <w:t xml:space="preserve">Cabe aclarar que la obligación impuesta al Congreso del Estado de llevar el registro de los asesores municipales se incluyó en el Decreto 506/2022 por el que se modifica la Ley de Gobierno de los Municipios del Estado de Yucatán en materia de asesores </w:t>
      </w:r>
      <w:r w:rsidR="0043731B" w:rsidRPr="00B16609">
        <w:rPr>
          <w:rFonts w:ascii="Arial" w:hAnsi="Arial" w:cs="Arial"/>
        </w:rPr>
        <w:t xml:space="preserve">municipales, publicada en el Diario Oficial del Gobierno del Estado el 7 de junio de 2022; sin embargo, a más de tres años de su establecimiento en ley, se carece de la respectiva reforma a la Ley de Gobierno del Poder Legislativo del Estado de Yucatán que otorgue dicha facultad y obligación a alguno de los órganos del Congreso estatal.  </w:t>
      </w:r>
    </w:p>
    <w:p w14:paraId="450AFF4B" w14:textId="7B8D3BAE" w:rsidR="000D04B5" w:rsidRPr="00B16609" w:rsidRDefault="000D04B5">
      <w:pPr>
        <w:spacing w:after="0" w:line="259" w:lineRule="auto"/>
        <w:ind w:left="0" w:right="0" w:firstLine="0"/>
        <w:jc w:val="left"/>
        <w:rPr>
          <w:rFonts w:ascii="Arial" w:hAnsi="Arial" w:cs="Arial"/>
        </w:rPr>
      </w:pPr>
    </w:p>
    <w:tbl>
      <w:tblPr>
        <w:tblStyle w:val="TableGrid"/>
        <w:tblW w:w="8837" w:type="dxa"/>
        <w:tblInd w:w="0" w:type="dxa"/>
        <w:tblLook w:val="04A0" w:firstRow="1" w:lastRow="0" w:firstColumn="1" w:lastColumn="0" w:noHBand="0" w:noVBand="1"/>
      </w:tblPr>
      <w:tblGrid>
        <w:gridCol w:w="8837"/>
      </w:tblGrid>
      <w:tr w:rsidR="000D04B5" w:rsidRPr="00B16609" w14:paraId="199E80FF" w14:textId="77777777" w:rsidTr="0043731B">
        <w:trPr>
          <w:trHeight w:val="2347"/>
        </w:trPr>
        <w:tc>
          <w:tcPr>
            <w:tcW w:w="8837" w:type="dxa"/>
            <w:tcBorders>
              <w:top w:val="nil"/>
              <w:left w:val="nil"/>
              <w:bottom w:val="nil"/>
              <w:right w:val="nil"/>
            </w:tcBorders>
            <w:shd w:val="clear" w:color="auto" w:fill="auto"/>
          </w:tcPr>
          <w:p w14:paraId="51F0B00B" w14:textId="5380C49E" w:rsidR="000D04B5" w:rsidRPr="00B16609" w:rsidRDefault="00D039BE">
            <w:pPr>
              <w:spacing w:after="0" w:line="259" w:lineRule="auto"/>
              <w:ind w:left="0" w:right="-1" w:firstLine="0"/>
              <w:rPr>
                <w:rFonts w:ascii="Arial" w:hAnsi="Arial" w:cs="Arial"/>
              </w:rPr>
            </w:pPr>
            <w:r w:rsidRPr="00B16609">
              <w:rPr>
                <w:rFonts w:ascii="Arial" w:hAnsi="Arial" w:cs="Arial"/>
              </w:rPr>
              <w:t>Por tal motivo, se incluye la propuesta de adicionar una fracción XIX Bis al artículo 75 Quáter de la Ley de Gobierno del Poder Legislativo del Estado de Yucatán, a fin de atribuirle a la Contraloría Interna esa función, toda vez que entre, otras funciones, tiene la de promover la coordinación y cooperación con los municipios y demás entes públicos encargados de regímenes de contratación pública, a efecto de propiciar en lo procedente la homologación de políticas, normativas y criterios en la materia, que permita contar con un sistema de contrataciones públicas articulado a nivel estatal; así como de mantener la coordinación con la Auditoría Superior del Estado y el Sistema</w:t>
            </w:r>
            <w:r w:rsidR="0043731B" w:rsidRPr="00B16609">
              <w:rPr>
                <w:rFonts w:ascii="Arial" w:hAnsi="Arial" w:cs="Arial"/>
              </w:rPr>
              <w:t xml:space="preserve"> Estatal Anticorrupción.</w:t>
            </w:r>
          </w:p>
        </w:tc>
      </w:tr>
    </w:tbl>
    <w:p w14:paraId="2D4D5DE9"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tbl>
      <w:tblPr>
        <w:tblStyle w:val="TableGrid"/>
        <w:tblW w:w="8837" w:type="dxa"/>
        <w:tblInd w:w="0" w:type="dxa"/>
        <w:tblLook w:val="04A0" w:firstRow="1" w:lastRow="0" w:firstColumn="1" w:lastColumn="0" w:noHBand="0" w:noVBand="1"/>
      </w:tblPr>
      <w:tblGrid>
        <w:gridCol w:w="8837"/>
      </w:tblGrid>
      <w:tr w:rsidR="000D04B5" w:rsidRPr="00B16609" w14:paraId="22E7B784" w14:textId="77777777" w:rsidTr="0043731B">
        <w:trPr>
          <w:trHeight w:val="878"/>
        </w:trPr>
        <w:tc>
          <w:tcPr>
            <w:tcW w:w="8837" w:type="dxa"/>
            <w:tcBorders>
              <w:top w:val="nil"/>
              <w:left w:val="nil"/>
              <w:bottom w:val="nil"/>
              <w:right w:val="nil"/>
            </w:tcBorders>
            <w:shd w:val="clear" w:color="auto" w:fill="auto"/>
          </w:tcPr>
          <w:p w14:paraId="0C187FB3" w14:textId="5806E797" w:rsidR="000D04B5" w:rsidRPr="00B16609" w:rsidRDefault="00D039BE">
            <w:pPr>
              <w:spacing w:after="0" w:line="259" w:lineRule="auto"/>
              <w:ind w:left="0" w:right="-2" w:firstLine="0"/>
              <w:rPr>
                <w:rFonts w:ascii="Arial" w:hAnsi="Arial" w:cs="Arial"/>
              </w:rPr>
            </w:pPr>
            <w:r w:rsidRPr="00B16609">
              <w:rPr>
                <w:rFonts w:ascii="Arial" w:hAnsi="Arial" w:cs="Arial"/>
              </w:rPr>
              <w:t xml:space="preserve">Todo lo anterior tiene como fin evitar nuevos casos como el reciente del municipio de Tinum, donde todos los integrantes de Cabildo de la administración 2021-2024 fueron sancionados con prisión e inhabilitados por diversas irregularidades, las cuales </w:t>
            </w:r>
            <w:r w:rsidR="00E96734" w:rsidRPr="00B16609">
              <w:rPr>
                <w:rFonts w:ascii="Arial" w:hAnsi="Arial" w:cs="Arial"/>
              </w:rPr>
              <w:t>tuvieron como origen una deficiente labor de sus asesores.</w:t>
            </w:r>
          </w:p>
        </w:tc>
      </w:tr>
    </w:tbl>
    <w:p w14:paraId="34C5EA04"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27AF7CF0" w14:textId="77777777" w:rsidR="000D04B5" w:rsidRPr="00B16609" w:rsidRDefault="00D039BE">
      <w:pPr>
        <w:ind w:left="-8" w:right="34"/>
        <w:rPr>
          <w:rFonts w:ascii="Arial" w:hAnsi="Arial" w:cs="Arial"/>
        </w:rPr>
      </w:pPr>
      <w:r w:rsidRPr="00B16609">
        <w:rPr>
          <w:rFonts w:ascii="Arial" w:hAnsi="Arial" w:cs="Arial"/>
        </w:rPr>
        <w:t xml:space="preserve">Siguiendo con las recomendaciones del Instituto de Desarrollo Regional y Municipal, se reforma el artículo 79 de la citada Ley, para fortalecer las Gacetas Municipales y hacer más transparente la actividad de los Cabildos, estableciendo versiones digitales obligatorias y disponibles desde los sitios electrónicos de los Ayuntamientos. </w:t>
      </w:r>
    </w:p>
    <w:p w14:paraId="1258C2BB"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7233349B" w14:textId="77777777" w:rsidR="000D04B5" w:rsidRPr="00B16609" w:rsidRDefault="00D039BE">
      <w:pPr>
        <w:ind w:left="-8" w:right="34"/>
        <w:rPr>
          <w:rFonts w:ascii="Arial" w:hAnsi="Arial" w:cs="Arial"/>
        </w:rPr>
      </w:pPr>
      <w:r w:rsidRPr="00B16609">
        <w:rPr>
          <w:rFonts w:ascii="Arial" w:hAnsi="Arial" w:cs="Arial"/>
        </w:rPr>
        <w:t xml:space="preserve">Por último, se reforman los artículos 25, el primer párrafo del artículo 25 Bis, el 29 y el 29 Z-15 en materia de transición y Entrega-Recepción, para homologarlos a las más recientes reformas en la materia, así como sobre responsabilidades administrativas, además que corrigen algunos errores de redacción subsistentes. </w:t>
      </w:r>
    </w:p>
    <w:p w14:paraId="317612C0"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19BA0D92" w14:textId="77777777" w:rsidR="000D04B5" w:rsidRPr="00B16609" w:rsidRDefault="00D039BE">
      <w:pPr>
        <w:ind w:left="-8" w:right="34"/>
        <w:rPr>
          <w:rFonts w:ascii="Arial" w:hAnsi="Arial" w:cs="Arial"/>
        </w:rPr>
      </w:pPr>
      <w:r w:rsidRPr="00B16609">
        <w:rPr>
          <w:rFonts w:ascii="Arial" w:hAnsi="Arial" w:cs="Arial"/>
        </w:rPr>
        <w:t xml:space="preserve">Además, se adiciona el artículo 29 Z-28 para establecer un plazo a las autoridades salientes respecto a la respuesta que deben dar a las dudas o solicitudes de información de los nuevos funcionarios, algo en lo que es omisa la actual Ley. </w:t>
      </w:r>
    </w:p>
    <w:p w14:paraId="11A747E6"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597DFC53" w14:textId="77777777" w:rsidR="000D04B5" w:rsidRPr="00B16609" w:rsidRDefault="00D039BE">
      <w:pPr>
        <w:ind w:left="-8" w:right="34"/>
        <w:rPr>
          <w:rFonts w:ascii="Arial" w:hAnsi="Arial" w:cs="Arial"/>
        </w:rPr>
      </w:pPr>
      <w:r w:rsidRPr="00B16609">
        <w:rPr>
          <w:rFonts w:ascii="Arial" w:hAnsi="Arial" w:cs="Arial"/>
        </w:rPr>
        <w:t xml:space="preserve">En los artículos transitorios se establece que las reformas en materia de correción de errores entrarán en vigor al día siguiente de su publicación en el Diario Oficial del Gobierno del Estado. </w:t>
      </w:r>
    </w:p>
    <w:p w14:paraId="5145D7B7"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b/>
        </w:rPr>
        <w:t xml:space="preserve"> </w:t>
      </w:r>
    </w:p>
    <w:p w14:paraId="7F715FF8" w14:textId="77777777" w:rsidR="000D04B5" w:rsidRPr="00B16609" w:rsidRDefault="00D039BE">
      <w:pPr>
        <w:ind w:left="-8" w:right="34"/>
        <w:rPr>
          <w:rFonts w:ascii="Arial" w:hAnsi="Arial" w:cs="Arial"/>
        </w:rPr>
      </w:pPr>
      <w:r w:rsidRPr="00B16609">
        <w:rPr>
          <w:rFonts w:ascii="Arial" w:hAnsi="Arial" w:cs="Arial"/>
        </w:rPr>
        <w:t xml:space="preserve">Lo dispuesto en el artículo reformado 29 Z-28 relativo a la transición y a la EntregaRecepción será obligatorio a partir de la siguiente renovación constitucional de los Ayuntamientos, en 2027; así como todo lo relativo a la profesionalización y certificación de funcionarios públicos municipales señalado en los artículos reformados 41, 58, 86, 136 Bis, 136 Ter, 136 Quáter y 136 Quinquies. </w:t>
      </w:r>
    </w:p>
    <w:p w14:paraId="3B7B9ACA"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0FEE0E3A" w14:textId="77777777" w:rsidR="000D04B5" w:rsidRPr="00B16609" w:rsidRDefault="00D039BE">
      <w:pPr>
        <w:ind w:left="-8" w:right="34"/>
        <w:rPr>
          <w:rFonts w:ascii="Arial" w:hAnsi="Arial" w:cs="Arial"/>
        </w:rPr>
      </w:pPr>
      <w:r w:rsidRPr="00B16609">
        <w:rPr>
          <w:rFonts w:ascii="Arial" w:hAnsi="Arial" w:cs="Arial"/>
        </w:rPr>
        <w:t xml:space="preserve">Con relación a los artículos 58 y 86 es oportuno aclarar que, si bien se establece que los Síndicos y los Tesoreros pasen de tener una formación mínima de secundaria a Media Superior, con el fin de hacerlo de una forma equitativa, se propone que dicha reforma sólo aplique a los municipios comprendidos en las fracciones de la II a la IV del artículo 22 de la Ley, es decir, aquellos que cuentan con 8 o más regidores, por ser municipios con una población igual o superior a los 10 mil habitantes. </w:t>
      </w:r>
    </w:p>
    <w:p w14:paraId="3AA48E8D"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55FD9C00" w14:textId="77777777" w:rsidR="000D04B5" w:rsidRPr="00B16609" w:rsidRDefault="00D039BE">
      <w:pPr>
        <w:spacing w:after="63"/>
        <w:ind w:left="-8" w:right="34"/>
        <w:rPr>
          <w:rFonts w:ascii="Arial" w:hAnsi="Arial" w:cs="Arial"/>
        </w:rPr>
      </w:pPr>
      <w:r w:rsidRPr="00B16609">
        <w:rPr>
          <w:rFonts w:ascii="Arial" w:hAnsi="Arial" w:cs="Arial"/>
        </w:rPr>
        <w:t xml:space="preserve">Tomando en cuenta este criterio, sólo serían de momento 30 municipios los que deberán de cumplir en 2027, según establece el artículo transitorio respectivo,  con esa nueva exigencia en la elección de los servidores públicos señalados, como se muestra en la siguiente tabla elaborada con información del Censo de Población y Vivienda de 2020 del INEGI. </w:t>
      </w:r>
    </w:p>
    <w:tbl>
      <w:tblPr>
        <w:tblStyle w:val="Tablaconcuadrcula"/>
        <w:tblW w:w="0" w:type="auto"/>
        <w:tblInd w:w="-8" w:type="dxa"/>
        <w:tblLook w:val="04A0" w:firstRow="1" w:lastRow="0" w:firstColumn="1" w:lastColumn="0" w:noHBand="0" w:noVBand="1"/>
      </w:tblPr>
      <w:tblGrid>
        <w:gridCol w:w="1347"/>
        <w:gridCol w:w="1499"/>
        <w:gridCol w:w="1623"/>
        <w:gridCol w:w="1499"/>
        <w:gridCol w:w="1418"/>
        <w:gridCol w:w="1499"/>
      </w:tblGrid>
      <w:tr w:rsidR="00A74775" w:rsidRPr="00B16609" w14:paraId="5095D164" w14:textId="77777777" w:rsidTr="00E96734">
        <w:tc>
          <w:tcPr>
            <w:tcW w:w="2958" w:type="dxa"/>
            <w:gridSpan w:val="2"/>
          </w:tcPr>
          <w:p w14:paraId="2F4709E4" w14:textId="53DF2840" w:rsidR="00A74775" w:rsidRPr="00B16609" w:rsidRDefault="00A74775" w:rsidP="00A74775">
            <w:pPr>
              <w:spacing w:after="63"/>
              <w:ind w:left="0" w:right="34" w:firstLine="0"/>
              <w:jc w:val="center"/>
              <w:rPr>
                <w:rFonts w:ascii="Arial" w:hAnsi="Arial" w:cs="Arial"/>
                <w:b/>
                <w:bCs/>
              </w:rPr>
            </w:pPr>
            <w:r w:rsidRPr="00B16609">
              <w:rPr>
                <w:rFonts w:ascii="Arial" w:hAnsi="Arial" w:cs="Arial"/>
                <w:b/>
                <w:bCs/>
              </w:rPr>
              <w:t>MUNICIPIOS CON MÁS DE 10,000 HABITANTES</w:t>
            </w:r>
          </w:p>
        </w:tc>
        <w:tc>
          <w:tcPr>
            <w:tcW w:w="5919" w:type="dxa"/>
            <w:gridSpan w:val="4"/>
          </w:tcPr>
          <w:p w14:paraId="531465E5" w14:textId="2FED3DEA" w:rsidR="00A74775" w:rsidRPr="00B16609" w:rsidRDefault="00A74775" w:rsidP="00A74775">
            <w:pPr>
              <w:spacing w:after="63"/>
              <w:ind w:left="0" w:right="34" w:firstLine="0"/>
              <w:jc w:val="center"/>
              <w:rPr>
                <w:rFonts w:ascii="Arial" w:hAnsi="Arial" w:cs="Arial"/>
                <w:b/>
                <w:bCs/>
              </w:rPr>
            </w:pPr>
            <w:r w:rsidRPr="00B16609">
              <w:rPr>
                <w:rFonts w:ascii="Arial" w:hAnsi="Arial" w:cs="Arial"/>
                <w:b/>
                <w:bCs/>
              </w:rPr>
              <w:t>MUNICIPIOS CON MENOS DE 10,000 HABITANTES</w:t>
            </w:r>
          </w:p>
        </w:tc>
      </w:tr>
      <w:tr w:rsidR="00A74775" w:rsidRPr="00B16609" w14:paraId="5E6FC70E" w14:textId="77777777" w:rsidTr="003B2A47">
        <w:tc>
          <w:tcPr>
            <w:tcW w:w="1479" w:type="dxa"/>
          </w:tcPr>
          <w:p w14:paraId="1E8EC2F2" w14:textId="58778ADC"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MUNICIPIO</w:t>
            </w:r>
          </w:p>
        </w:tc>
        <w:tc>
          <w:tcPr>
            <w:tcW w:w="1479" w:type="dxa"/>
          </w:tcPr>
          <w:p w14:paraId="65D97AAE" w14:textId="7D16F1E2"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POBLACION</w:t>
            </w:r>
          </w:p>
        </w:tc>
        <w:tc>
          <w:tcPr>
            <w:tcW w:w="1479" w:type="dxa"/>
          </w:tcPr>
          <w:p w14:paraId="63444AF6" w14:textId="28ED6658"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MUNICIPIO</w:t>
            </w:r>
          </w:p>
        </w:tc>
        <w:tc>
          <w:tcPr>
            <w:tcW w:w="1480" w:type="dxa"/>
          </w:tcPr>
          <w:p w14:paraId="4DFCB2D5" w14:textId="367C000E"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POBLACION</w:t>
            </w:r>
          </w:p>
        </w:tc>
        <w:tc>
          <w:tcPr>
            <w:tcW w:w="1480" w:type="dxa"/>
          </w:tcPr>
          <w:p w14:paraId="72656BB2" w14:textId="136EF2FF"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MUNICIPIO</w:t>
            </w:r>
          </w:p>
        </w:tc>
        <w:tc>
          <w:tcPr>
            <w:tcW w:w="1480" w:type="dxa"/>
          </w:tcPr>
          <w:p w14:paraId="37E16F18" w14:textId="226CE4C0"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POBLACION</w:t>
            </w:r>
          </w:p>
        </w:tc>
      </w:tr>
      <w:tr w:rsidR="00A74775" w:rsidRPr="00B16609" w14:paraId="1B67F4A0" w14:textId="77777777" w:rsidTr="003B2A47">
        <w:tc>
          <w:tcPr>
            <w:tcW w:w="1479" w:type="dxa"/>
          </w:tcPr>
          <w:p w14:paraId="01344E0A" w14:textId="744A74BE"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Mérida</w:t>
            </w:r>
          </w:p>
        </w:tc>
        <w:tc>
          <w:tcPr>
            <w:tcW w:w="1479" w:type="dxa"/>
          </w:tcPr>
          <w:p w14:paraId="4EA282F7" w14:textId="676D90C9"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995,129</w:t>
            </w:r>
          </w:p>
        </w:tc>
        <w:tc>
          <w:tcPr>
            <w:tcW w:w="1479" w:type="dxa"/>
          </w:tcPr>
          <w:p w14:paraId="4B871373" w14:textId="4E1AFADE"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Chichimilá</w:t>
            </w:r>
          </w:p>
        </w:tc>
        <w:tc>
          <w:tcPr>
            <w:tcW w:w="1480" w:type="dxa"/>
          </w:tcPr>
          <w:p w14:paraId="1802004A" w14:textId="7C16F20F"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9,406</w:t>
            </w:r>
          </w:p>
        </w:tc>
        <w:tc>
          <w:tcPr>
            <w:tcW w:w="1480" w:type="dxa"/>
          </w:tcPr>
          <w:p w14:paraId="1FD1E4BC" w14:textId="4690517F"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Ucú</w:t>
            </w:r>
          </w:p>
        </w:tc>
        <w:tc>
          <w:tcPr>
            <w:tcW w:w="1480" w:type="dxa"/>
          </w:tcPr>
          <w:p w14:paraId="5240CF92" w14:textId="2993545F"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4,049</w:t>
            </w:r>
          </w:p>
        </w:tc>
      </w:tr>
      <w:tr w:rsidR="00A74775" w:rsidRPr="00B16609" w14:paraId="0F82C250" w14:textId="77777777" w:rsidTr="003B2A47">
        <w:tc>
          <w:tcPr>
            <w:tcW w:w="1479" w:type="dxa"/>
          </w:tcPr>
          <w:p w14:paraId="7E2056C4" w14:textId="71586148"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Kanasín</w:t>
            </w:r>
          </w:p>
        </w:tc>
        <w:tc>
          <w:tcPr>
            <w:tcW w:w="1479" w:type="dxa"/>
          </w:tcPr>
          <w:p w14:paraId="39ADA9B2" w14:textId="6699076E"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141,939</w:t>
            </w:r>
          </w:p>
        </w:tc>
        <w:tc>
          <w:tcPr>
            <w:tcW w:w="1479" w:type="dxa"/>
          </w:tcPr>
          <w:p w14:paraId="5653DB51" w14:textId="17511A5E"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Buctzotz</w:t>
            </w:r>
          </w:p>
        </w:tc>
        <w:tc>
          <w:tcPr>
            <w:tcW w:w="1480" w:type="dxa"/>
          </w:tcPr>
          <w:p w14:paraId="6A11A178" w14:textId="1D6D57CD"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9,159</w:t>
            </w:r>
          </w:p>
        </w:tc>
        <w:tc>
          <w:tcPr>
            <w:tcW w:w="1480" w:type="dxa"/>
          </w:tcPr>
          <w:p w14:paraId="416C59C7" w14:textId="1418952F"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Dzitás</w:t>
            </w:r>
          </w:p>
        </w:tc>
        <w:tc>
          <w:tcPr>
            <w:tcW w:w="1480" w:type="dxa"/>
          </w:tcPr>
          <w:p w14:paraId="74BCF152" w14:textId="0E1FE94B"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4,015</w:t>
            </w:r>
          </w:p>
        </w:tc>
      </w:tr>
      <w:tr w:rsidR="00A74775" w:rsidRPr="00B16609" w14:paraId="3B35637E" w14:textId="77777777" w:rsidTr="003B2A47">
        <w:tc>
          <w:tcPr>
            <w:tcW w:w="1479" w:type="dxa"/>
          </w:tcPr>
          <w:p w14:paraId="266543B7" w14:textId="17BF05F8"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Valladolid</w:t>
            </w:r>
          </w:p>
        </w:tc>
        <w:tc>
          <w:tcPr>
            <w:tcW w:w="1479" w:type="dxa"/>
          </w:tcPr>
          <w:p w14:paraId="15E3965B" w14:textId="1654AA00"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85,460</w:t>
            </w:r>
          </w:p>
        </w:tc>
        <w:tc>
          <w:tcPr>
            <w:tcW w:w="1479" w:type="dxa"/>
          </w:tcPr>
          <w:p w14:paraId="570BD07D" w14:textId="06CE0A2D"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Sotuta</w:t>
            </w:r>
          </w:p>
        </w:tc>
        <w:tc>
          <w:tcPr>
            <w:tcW w:w="1480" w:type="dxa"/>
          </w:tcPr>
          <w:p w14:paraId="7B4A246C" w14:textId="29690464"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8,967</w:t>
            </w:r>
          </w:p>
        </w:tc>
        <w:tc>
          <w:tcPr>
            <w:tcW w:w="1480" w:type="dxa"/>
          </w:tcPr>
          <w:p w14:paraId="66643B58" w14:textId="7945A514"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Río Lagartos</w:t>
            </w:r>
          </w:p>
        </w:tc>
        <w:tc>
          <w:tcPr>
            <w:tcW w:w="1480" w:type="dxa"/>
          </w:tcPr>
          <w:p w14:paraId="2E457F67" w14:textId="7FDAF15D"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3,974</w:t>
            </w:r>
          </w:p>
        </w:tc>
      </w:tr>
      <w:tr w:rsidR="00A74775" w:rsidRPr="00B16609" w14:paraId="19DCB506" w14:textId="77777777" w:rsidTr="003B2A47">
        <w:tc>
          <w:tcPr>
            <w:tcW w:w="1479" w:type="dxa"/>
          </w:tcPr>
          <w:p w14:paraId="0A36A0C8" w14:textId="490A9099"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Tizimín</w:t>
            </w:r>
          </w:p>
        </w:tc>
        <w:tc>
          <w:tcPr>
            <w:tcW w:w="1479" w:type="dxa"/>
          </w:tcPr>
          <w:p w14:paraId="6CC2E17C" w14:textId="355A2C2D"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80,672</w:t>
            </w:r>
          </w:p>
        </w:tc>
        <w:tc>
          <w:tcPr>
            <w:tcW w:w="1479" w:type="dxa"/>
          </w:tcPr>
          <w:p w14:paraId="0B51412B" w14:textId="3CDA31F7"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Celestún</w:t>
            </w:r>
          </w:p>
        </w:tc>
        <w:tc>
          <w:tcPr>
            <w:tcW w:w="1480" w:type="dxa"/>
          </w:tcPr>
          <w:p w14:paraId="473DD07C" w14:textId="19BBAF11"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8,389</w:t>
            </w:r>
          </w:p>
        </w:tc>
        <w:tc>
          <w:tcPr>
            <w:tcW w:w="1480" w:type="dxa"/>
          </w:tcPr>
          <w:p w14:paraId="2973F1ED" w14:textId="0D6A7BCB"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Sucilá</w:t>
            </w:r>
          </w:p>
        </w:tc>
        <w:tc>
          <w:tcPr>
            <w:tcW w:w="1480" w:type="dxa"/>
          </w:tcPr>
          <w:p w14:paraId="6014D282" w14:textId="491BC9BA"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3,971</w:t>
            </w:r>
          </w:p>
        </w:tc>
      </w:tr>
      <w:tr w:rsidR="00A74775" w:rsidRPr="00B16609" w14:paraId="38906345" w14:textId="77777777" w:rsidTr="003B2A47">
        <w:tc>
          <w:tcPr>
            <w:tcW w:w="1479" w:type="dxa"/>
          </w:tcPr>
          <w:p w14:paraId="43195AF5" w14:textId="5F5D9815"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Umán</w:t>
            </w:r>
          </w:p>
        </w:tc>
        <w:tc>
          <w:tcPr>
            <w:tcW w:w="1479" w:type="dxa"/>
          </w:tcPr>
          <w:p w14:paraId="3EC33030" w14:textId="24A04063"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69,147</w:t>
            </w:r>
          </w:p>
        </w:tc>
        <w:tc>
          <w:tcPr>
            <w:tcW w:w="1479" w:type="dxa"/>
          </w:tcPr>
          <w:p w14:paraId="611C6A57" w14:textId="5037ECF3"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Dzidzantún</w:t>
            </w:r>
          </w:p>
        </w:tc>
        <w:tc>
          <w:tcPr>
            <w:tcW w:w="1480" w:type="dxa"/>
          </w:tcPr>
          <w:p w14:paraId="1A2881B2" w14:textId="0C8A14F3"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8,345</w:t>
            </w:r>
          </w:p>
        </w:tc>
        <w:tc>
          <w:tcPr>
            <w:tcW w:w="1480" w:type="dxa"/>
          </w:tcPr>
          <w:p w14:paraId="1F044755" w14:textId="4A16BA23"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Mayapán</w:t>
            </w:r>
          </w:p>
        </w:tc>
        <w:tc>
          <w:tcPr>
            <w:tcW w:w="1480" w:type="dxa"/>
          </w:tcPr>
          <w:p w14:paraId="02314E2A" w14:textId="64EFBB30"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3,965</w:t>
            </w:r>
          </w:p>
        </w:tc>
      </w:tr>
      <w:tr w:rsidR="00A74775" w:rsidRPr="00B16609" w14:paraId="36706C30" w14:textId="77777777" w:rsidTr="003B2A47">
        <w:tc>
          <w:tcPr>
            <w:tcW w:w="1479" w:type="dxa"/>
          </w:tcPr>
          <w:p w14:paraId="163D28E2" w14:textId="32D2D8E0"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Progreso</w:t>
            </w:r>
          </w:p>
        </w:tc>
        <w:tc>
          <w:tcPr>
            <w:tcW w:w="1479" w:type="dxa"/>
          </w:tcPr>
          <w:p w14:paraId="43563646" w14:textId="5DD6EB14"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66,008</w:t>
            </w:r>
          </w:p>
        </w:tc>
        <w:tc>
          <w:tcPr>
            <w:tcW w:w="1479" w:type="dxa"/>
          </w:tcPr>
          <w:p w14:paraId="5D6D02E7" w14:textId="28526C9F"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Homún</w:t>
            </w:r>
          </w:p>
        </w:tc>
        <w:tc>
          <w:tcPr>
            <w:tcW w:w="1480" w:type="dxa"/>
          </w:tcPr>
          <w:p w14:paraId="3A155234" w14:textId="7D1DC808"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8,090</w:t>
            </w:r>
          </w:p>
        </w:tc>
        <w:tc>
          <w:tcPr>
            <w:tcW w:w="1480" w:type="dxa"/>
          </w:tcPr>
          <w:p w14:paraId="5EFF5926" w14:textId="5BECFE8C"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Calotmul</w:t>
            </w:r>
          </w:p>
        </w:tc>
        <w:tc>
          <w:tcPr>
            <w:tcW w:w="1480" w:type="dxa"/>
          </w:tcPr>
          <w:p w14:paraId="050BF2DB" w14:textId="2DEE2018"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3,949</w:t>
            </w:r>
          </w:p>
        </w:tc>
      </w:tr>
      <w:tr w:rsidR="00A74775" w:rsidRPr="00B16609" w14:paraId="54996511" w14:textId="77777777" w:rsidTr="003B2A47">
        <w:tc>
          <w:tcPr>
            <w:tcW w:w="1479" w:type="dxa"/>
          </w:tcPr>
          <w:p w14:paraId="11F342DC" w14:textId="19055913"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Tekax</w:t>
            </w:r>
          </w:p>
        </w:tc>
        <w:tc>
          <w:tcPr>
            <w:tcW w:w="1479" w:type="dxa"/>
          </w:tcPr>
          <w:p w14:paraId="3C58A818" w14:textId="7D36FC93"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45,062</w:t>
            </w:r>
          </w:p>
        </w:tc>
        <w:tc>
          <w:tcPr>
            <w:tcW w:w="1479" w:type="dxa"/>
          </w:tcPr>
          <w:p w14:paraId="30358712" w14:textId="7A8FC48D"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Tixcacalcupul</w:t>
            </w:r>
          </w:p>
        </w:tc>
        <w:tc>
          <w:tcPr>
            <w:tcW w:w="1480" w:type="dxa"/>
          </w:tcPr>
          <w:p w14:paraId="108B9C07" w14:textId="787459C5"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7,888</w:t>
            </w:r>
          </w:p>
        </w:tc>
        <w:tc>
          <w:tcPr>
            <w:tcW w:w="1480" w:type="dxa"/>
          </w:tcPr>
          <w:p w14:paraId="56ED6DE4" w14:textId="23520D64"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Tahmek</w:t>
            </w:r>
          </w:p>
        </w:tc>
        <w:tc>
          <w:tcPr>
            <w:tcW w:w="1480" w:type="dxa"/>
          </w:tcPr>
          <w:p w14:paraId="6D9DAA41" w14:textId="1DD8728C"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3,774</w:t>
            </w:r>
          </w:p>
        </w:tc>
      </w:tr>
      <w:tr w:rsidR="00A74775" w:rsidRPr="00B16609" w14:paraId="5D9D0300" w14:textId="77777777" w:rsidTr="003B2A47">
        <w:tc>
          <w:tcPr>
            <w:tcW w:w="1479" w:type="dxa"/>
          </w:tcPr>
          <w:p w14:paraId="1BC714C5" w14:textId="418488F7"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Ticul</w:t>
            </w:r>
          </w:p>
        </w:tc>
        <w:tc>
          <w:tcPr>
            <w:tcW w:w="1479" w:type="dxa"/>
          </w:tcPr>
          <w:p w14:paraId="3F748A01" w14:textId="1487456C"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40,495</w:t>
            </w:r>
          </w:p>
        </w:tc>
        <w:tc>
          <w:tcPr>
            <w:tcW w:w="1479" w:type="dxa"/>
          </w:tcPr>
          <w:p w14:paraId="74DF2A4B" w14:textId="22A4C0D8"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Panabá</w:t>
            </w:r>
          </w:p>
        </w:tc>
        <w:tc>
          <w:tcPr>
            <w:tcW w:w="1480" w:type="dxa"/>
          </w:tcPr>
          <w:p w14:paraId="30666899" w14:textId="2586F610"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7,766</w:t>
            </w:r>
          </w:p>
        </w:tc>
        <w:tc>
          <w:tcPr>
            <w:tcW w:w="1480" w:type="dxa"/>
          </w:tcPr>
          <w:p w14:paraId="63C777E4" w14:textId="13AF27B3"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Tekantó</w:t>
            </w:r>
          </w:p>
        </w:tc>
        <w:tc>
          <w:tcPr>
            <w:tcW w:w="1480" w:type="dxa"/>
          </w:tcPr>
          <w:p w14:paraId="764F5C83" w14:textId="4192B267"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3,747</w:t>
            </w:r>
          </w:p>
        </w:tc>
      </w:tr>
      <w:tr w:rsidR="00A74775" w:rsidRPr="00B16609" w14:paraId="68486BB8" w14:textId="77777777" w:rsidTr="003B2A47">
        <w:tc>
          <w:tcPr>
            <w:tcW w:w="1479" w:type="dxa"/>
          </w:tcPr>
          <w:p w14:paraId="6B89091D" w14:textId="247F03F9"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Chemax</w:t>
            </w:r>
          </w:p>
        </w:tc>
        <w:tc>
          <w:tcPr>
            <w:tcW w:w="1479" w:type="dxa"/>
          </w:tcPr>
          <w:p w14:paraId="032F8FE1" w14:textId="37C822BA"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38,934</w:t>
            </w:r>
          </w:p>
        </w:tc>
        <w:tc>
          <w:tcPr>
            <w:tcW w:w="1479" w:type="dxa"/>
          </w:tcPr>
          <w:p w14:paraId="52AF6542" w14:textId="459A8440"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Kinchil</w:t>
            </w:r>
          </w:p>
        </w:tc>
        <w:tc>
          <w:tcPr>
            <w:tcW w:w="1480" w:type="dxa"/>
          </w:tcPr>
          <w:p w14:paraId="2DCC6980" w14:textId="53D06D2E"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7,530</w:t>
            </w:r>
          </w:p>
        </w:tc>
        <w:tc>
          <w:tcPr>
            <w:tcW w:w="1480" w:type="dxa"/>
          </w:tcPr>
          <w:p w14:paraId="15F819C9" w14:textId="33D2F1FC"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Cenotillo</w:t>
            </w:r>
          </w:p>
        </w:tc>
        <w:tc>
          <w:tcPr>
            <w:tcW w:w="1480" w:type="dxa"/>
          </w:tcPr>
          <w:p w14:paraId="6A01F607" w14:textId="3E9A1ED9"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3,736</w:t>
            </w:r>
          </w:p>
        </w:tc>
      </w:tr>
      <w:tr w:rsidR="00A74775" w:rsidRPr="00B16609" w14:paraId="071DA814" w14:textId="77777777" w:rsidTr="003B2A47">
        <w:tc>
          <w:tcPr>
            <w:tcW w:w="1479" w:type="dxa"/>
          </w:tcPr>
          <w:p w14:paraId="3D595161" w14:textId="13E9070D"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Motul</w:t>
            </w:r>
          </w:p>
        </w:tc>
        <w:tc>
          <w:tcPr>
            <w:tcW w:w="1479" w:type="dxa"/>
          </w:tcPr>
          <w:p w14:paraId="2693C06B" w14:textId="6DC02A27"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37,804</w:t>
            </w:r>
          </w:p>
        </w:tc>
        <w:tc>
          <w:tcPr>
            <w:tcW w:w="1479" w:type="dxa"/>
          </w:tcPr>
          <w:p w14:paraId="0D499BF8" w14:textId="7DF9670F"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Timucuy</w:t>
            </w:r>
          </w:p>
        </w:tc>
        <w:tc>
          <w:tcPr>
            <w:tcW w:w="1480" w:type="dxa"/>
          </w:tcPr>
          <w:p w14:paraId="5BF13D6D" w14:textId="63F3931F"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7,503</w:t>
            </w:r>
          </w:p>
        </w:tc>
        <w:tc>
          <w:tcPr>
            <w:tcW w:w="1480" w:type="dxa"/>
          </w:tcPr>
          <w:p w14:paraId="50CE719D" w14:textId="399E3D8E"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Tunkás</w:t>
            </w:r>
          </w:p>
        </w:tc>
        <w:tc>
          <w:tcPr>
            <w:tcW w:w="1480" w:type="dxa"/>
          </w:tcPr>
          <w:p w14:paraId="1AE966E9" w14:textId="06AC3872"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3,684</w:t>
            </w:r>
          </w:p>
        </w:tc>
      </w:tr>
      <w:tr w:rsidR="00A74775" w:rsidRPr="00B16609" w14:paraId="48AE631A" w14:textId="77777777" w:rsidTr="003B2A47">
        <w:tc>
          <w:tcPr>
            <w:tcW w:w="1479" w:type="dxa"/>
          </w:tcPr>
          <w:p w14:paraId="17C5B9EC" w14:textId="001E0F5C"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Hunucmá</w:t>
            </w:r>
          </w:p>
        </w:tc>
        <w:tc>
          <w:tcPr>
            <w:tcW w:w="1479" w:type="dxa"/>
          </w:tcPr>
          <w:p w14:paraId="177A3E1F" w14:textId="1C3FF332"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35,137</w:t>
            </w:r>
          </w:p>
        </w:tc>
        <w:tc>
          <w:tcPr>
            <w:tcW w:w="1479" w:type="dxa"/>
          </w:tcPr>
          <w:p w14:paraId="47ADE542" w14:textId="12600307"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Cacalchén</w:t>
            </w:r>
          </w:p>
        </w:tc>
        <w:tc>
          <w:tcPr>
            <w:tcW w:w="1480" w:type="dxa"/>
          </w:tcPr>
          <w:p w14:paraId="7540DF14" w14:textId="0860D333"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7,490</w:t>
            </w:r>
          </w:p>
        </w:tc>
        <w:tc>
          <w:tcPr>
            <w:tcW w:w="1480" w:type="dxa"/>
          </w:tcPr>
          <w:p w14:paraId="54BAF4C1" w14:textId="17FE284F"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Dzemul</w:t>
            </w:r>
          </w:p>
        </w:tc>
        <w:tc>
          <w:tcPr>
            <w:tcW w:w="1480" w:type="dxa"/>
          </w:tcPr>
          <w:p w14:paraId="234C7EEF" w14:textId="0C5D2FB3"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3,622</w:t>
            </w:r>
          </w:p>
        </w:tc>
      </w:tr>
      <w:tr w:rsidR="00A74775" w:rsidRPr="00B16609" w14:paraId="21EE9E46" w14:textId="77777777" w:rsidTr="003B2A47">
        <w:tc>
          <w:tcPr>
            <w:tcW w:w="1479" w:type="dxa"/>
          </w:tcPr>
          <w:p w14:paraId="651CB2D6" w14:textId="5C619689"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Oxkutzcab</w:t>
            </w:r>
          </w:p>
        </w:tc>
        <w:tc>
          <w:tcPr>
            <w:tcW w:w="1479" w:type="dxa"/>
          </w:tcPr>
          <w:p w14:paraId="1905A625" w14:textId="26D8F809"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33,854</w:t>
            </w:r>
          </w:p>
        </w:tc>
        <w:tc>
          <w:tcPr>
            <w:tcW w:w="1479" w:type="dxa"/>
          </w:tcPr>
          <w:p w14:paraId="08C38A39" w14:textId="05931316"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Opichén</w:t>
            </w:r>
          </w:p>
        </w:tc>
        <w:tc>
          <w:tcPr>
            <w:tcW w:w="1480" w:type="dxa"/>
          </w:tcPr>
          <w:p w14:paraId="509A69B3" w14:textId="764FF85F"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7,080</w:t>
            </w:r>
          </w:p>
        </w:tc>
        <w:tc>
          <w:tcPr>
            <w:tcW w:w="1480" w:type="dxa"/>
          </w:tcPr>
          <w:p w14:paraId="4ED5CC52" w14:textId="6DFBA710"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Telchac Pueblo</w:t>
            </w:r>
          </w:p>
        </w:tc>
        <w:tc>
          <w:tcPr>
            <w:tcW w:w="1480" w:type="dxa"/>
          </w:tcPr>
          <w:p w14:paraId="7B0C4CE3" w14:textId="6A450420"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3,512</w:t>
            </w:r>
          </w:p>
        </w:tc>
      </w:tr>
      <w:tr w:rsidR="00A74775" w:rsidRPr="00B16609" w14:paraId="17BA22EC" w14:textId="77777777" w:rsidTr="003B2A47">
        <w:tc>
          <w:tcPr>
            <w:tcW w:w="1479" w:type="dxa"/>
          </w:tcPr>
          <w:p w14:paraId="5A3A9601" w14:textId="6CB04B2E"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Izamal</w:t>
            </w:r>
          </w:p>
        </w:tc>
        <w:tc>
          <w:tcPr>
            <w:tcW w:w="1479" w:type="dxa"/>
          </w:tcPr>
          <w:p w14:paraId="14999582" w14:textId="424122B7"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28,555</w:t>
            </w:r>
          </w:p>
        </w:tc>
        <w:tc>
          <w:tcPr>
            <w:tcW w:w="1479" w:type="dxa"/>
          </w:tcPr>
          <w:p w14:paraId="63095A57" w14:textId="74F85C5B"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Temax</w:t>
            </w:r>
          </w:p>
        </w:tc>
        <w:tc>
          <w:tcPr>
            <w:tcW w:w="1480" w:type="dxa"/>
          </w:tcPr>
          <w:p w14:paraId="78DBABB2" w14:textId="76FBF508"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7,037</w:t>
            </w:r>
          </w:p>
        </w:tc>
        <w:tc>
          <w:tcPr>
            <w:tcW w:w="1480" w:type="dxa"/>
          </w:tcPr>
          <w:p w14:paraId="1E56C1AE" w14:textId="74BC2E71"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Xocchel</w:t>
            </w:r>
          </w:p>
        </w:tc>
        <w:tc>
          <w:tcPr>
            <w:tcW w:w="1480" w:type="dxa"/>
          </w:tcPr>
          <w:p w14:paraId="0150E6FD" w14:textId="724E97B0"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3,451</w:t>
            </w:r>
          </w:p>
        </w:tc>
      </w:tr>
      <w:tr w:rsidR="00A74775" w:rsidRPr="00B16609" w14:paraId="16D25EEA" w14:textId="77777777" w:rsidTr="003B2A47">
        <w:tc>
          <w:tcPr>
            <w:tcW w:w="1479" w:type="dxa"/>
          </w:tcPr>
          <w:p w14:paraId="5ADA7540" w14:textId="57DD9BD3"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Peto</w:t>
            </w:r>
          </w:p>
        </w:tc>
        <w:tc>
          <w:tcPr>
            <w:tcW w:w="1479" w:type="dxa"/>
          </w:tcPr>
          <w:p w14:paraId="09D10277" w14:textId="6BAFC338"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25,954</w:t>
            </w:r>
          </w:p>
        </w:tc>
        <w:tc>
          <w:tcPr>
            <w:tcW w:w="1479" w:type="dxa"/>
          </w:tcPr>
          <w:p w14:paraId="325841CF" w14:textId="3AF43C5A"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Teabo</w:t>
            </w:r>
          </w:p>
        </w:tc>
        <w:tc>
          <w:tcPr>
            <w:tcW w:w="1480" w:type="dxa"/>
          </w:tcPr>
          <w:p w14:paraId="7EE16CF9" w14:textId="46BC19B1"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6,921</w:t>
            </w:r>
          </w:p>
        </w:tc>
        <w:tc>
          <w:tcPr>
            <w:tcW w:w="1480" w:type="dxa"/>
          </w:tcPr>
          <w:p w14:paraId="291E974D" w14:textId="4C1E37B1"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Mocochá</w:t>
            </w:r>
          </w:p>
        </w:tc>
        <w:tc>
          <w:tcPr>
            <w:tcW w:w="1480" w:type="dxa"/>
          </w:tcPr>
          <w:p w14:paraId="159F2EC8" w14:textId="3E4B6BC6"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3,430</w:t>
            </w:r>
          </w:p>
        </w:tc>
      </w:tr>
      <w:tr w:rsidR="00A74775" w:rsidRPr="00B16609" w14:paraId="1024FCB5" w14:textId="77777777" w:rsidTr="003B2A47">
        <w:tc>
          <w:tcPr>
            <w:tcW w:w="1479" w:type="dxa"/>
          </w:tcPr>
          <w:p w14:paraId="1F8FE996" w14:textId="50E125D1"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Maxcanú</w:t>
            </w:r>
          </w:p>
        </w:tc>
        <w:tc>
          <w:tcPr>
            <w:tcW w:w="1479" w:type="dxa"/>
          </w:tcPr>
          <w:p w14:paraId="6F00EA45" w14:textId="6874A11C"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23,991</w:t>
            </w:r>
          </w:p>
        </w:tc>
        <w:tc>
          <w:tcPr>
            <w:tcW w:w="1479" w:type="dxa"/>
          </w:tcPr>
          <w:p w14:paraId="11283D8C" w14:textId="393282B4"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Abalá</w:t>
            </w:r>
          </w:p>
        </w:tc>
        <w:tc>
          <w:tcPr>
            <w:tcW w:w="1480" w:type="dxa"/>
          </w:tcPr>
          <w:p w14:paraId="4FCDEDAA" w14:textId="61CD0057"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6,550</w:t>
            </w:r>
          </w:p>
        </w:tc>
        <w:tc>
          <w:tcPr>
            <w:tcW w:w="1480" w:type="dxa"/>
          </w:tcPr>
          <w:p w14:paraId="2A236960" w14:textId="6E72690A"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Kaua</w:t>
            </w:r>
          </w:p>
        </w:tc>
        <w:tc>
          <w:tcPr>
            <w:tcW w:w="1480" w:type="dxa"/>
          </w:tcPr>
          <w:p w14:paraId="2B8E60D1" w14:textId="363483DE"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3,405</w:t>
            </w:r>
          </w:p>
        </w:tc>
      </w:tr>
      <w:tr w:rsidR="00A74775" w:rsidRPr="00B16609" w14:paraId="724CDAF0" w14:textId="77777777" w:rsidTr="003B2A47">
        <w:tc>
          <w:tcPr>
            <w:tcW w:w="1479" w:type="dxa"/>
          </w:tcPr>
          <w:p w14:paraId="75FF69DE" w14:textId="5D55955F"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Halachó</w:t>
            </w:r>
          </w:p>
        </w:tc>
        <w:tc>
          <w:tcPr>
            <w:tcW w:w="1479" w:type="dxa"/>
          </w:tcPr>
          <w:p w14:paraId="628D59BD" w14:textId="3750546C"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21,255</w:t>
            </w:r>
          </w:p>
        </w:tc>
        <w:tc>
          <w:tcPr>
            <w:tcW w:w="1479" w:type="dxa"/>
          </w:tcPr>
          <w:p w14:paraId="63B89DAC" w14:textId="1092F85A"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Hocabá</w:t>
            </w:r>
          </w:p>
        </w:tc>
        <w:tc>
          <w:tcPr>
            <w:tcW w:w="1480" w:type="dxa"/>
          </w:tcPr>
          <w:p w14:paraId="3C85AC8C" w14:textId="714E5A00"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6,514</w:t>
            </w:r>
          </w:p>
        </w:tc>
        <w:tc>
          <w:tcPr>
            <w:tcW w:w="1480" w:type="dxa"/>
          </w:tcPr>
          <w:p w14:paraId="6F394143" w14:textId="17B3B065"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Chapab</w:t>
            </w:r>
          </w:p>
        </w:tc>
        <w:tc>
          <w:tcPr>
            <w:tcW w:w="1480" w:type="dxa"/>
          </w:tcPr>
          <w:p w14:paraId="02898F58" w14:textId="6382D6E0"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3,385</w:t>
            </w:r>
          </w:p>
        </w:tc>
      </w:tr>
      <w:tr w:rsidR="00A74775" w:rsidRPr="00B16609" w14:paraId="7B9CBD46" w14:textId="77777777" w:rsidTr="003B2A47">
        <w:tc>
          <w:tcPr>
            <w:tcW w:w="1479" w:type="dxa"/>
          </w:tcPr>
          <w:p w14:paraId="09781D55" w14:textId="1FC39731"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Tixkokob</w:t>
            </w:r>
          </w:p>
        </w:tc>
        <w:tc>
          <w:tcPr>
            <w:tcW w:w="1479" w:type="dxa"/>
          </w:tcPr>
          <w:p w14:paraId="6009FEBF" w14:textId="2D8BF21E"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18,420</w:t>
            </w:r>
          </w:p>
        </w:tc>
        <w:tc>
          <w:tcPr>
            <w:tcW w:w="1479" w:type="dxa"/>
          </w:tcPr>
          <w:p w14:paraId="7A7EE06A" w14:textId="65DFB2E0"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Hoctún</w:t>
            </w:r>
          </w:p>
        </w:tc>
        <w:tc>
          <w:tcPr>
            <w:tcW w:w="1480" w:type="dxa"/>
          </w:tcPr>
          <w:p w14:paraId="70744C73" w14:textId="51DE2566"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6,384</w:t>
            </w:r>
          </w:p>
        </w:tc>
        <w:tc>
          <w:tcPr>
            <w:tcW w:w="1480" w:type="dxa"/>
          </w:tcPr>
          <w:p w14:paraId="38A5C10D" w14:textId="2D7A3474"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Tekom</w:t>
            </w:r>
          </w:p>
        </w:tc>
        <w:tc>
          <w:tcPr>
            <w:tcW w:w="1480" w:type="dxa"/>
          </w:tcPr>
          <w:p w14:paraId="49EBF181" w14:textId="443B2141"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3,355</w:t>
            </w:r>
          </w:p>
        </w:tc>
      </w:tr>
      <w:tr w:rsidR="00A74775" w:rsidRPr="00B16609" w14:paraId="7A679176" w14:textId="77777777" w:rsidTr="003B2A47">
        <w:tc>
          <w:tcPr>
            <w:tcW w:w="1479" w:type="dxa"/>
          </w:tcPr>
          <w:p w14:paraId="47161759" w14:textId="6CD42F07"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Tecoh</w:t>
            </w:r>
          </w:p>
        </w:tc>
        <w:tc>
          <w:tcPr>
            <w:tcW w:w="1479" w:type="dxa"/>
          </w:tcPr>
          <w:p w14:paraId="358A80FB" w14:textId="231D2059"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17,939</w:t>
            </w:r>
          </w:p>
        </w:tc>
        <w:tc>
          <w:tcPr>
            <w:tcW w:w="1479" w:type="dxa"/>
          </w:tcPr>
          <w:p w14:paraId="1D82FA3F" w14:textId="524D94B8"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Dzilam González</w:t>
            </w:r>
          </w:p>
        </w:tc>
        <w:tc>
          <w:tcPr>
            <w:tcW w:w="1480" w:type="dxa"/>
          </w:tcPr>
          <w:p w14:paraId="44C70D4A" w14:textId="054F2872"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6,240</w:t>
            </w:r>
          </w:p>
        </w:tc>
        <w:tc>
          <w:tcPr>
            <w:tcW w:w="1480" w:type="dxa"/>
          </w:tcPr>
          <w:p w14:paraId="2355B7E3" w14:textId="2B778FA9"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Mama</w:t>
            </w:r>
          </w:p>
        </w:tc>
        <w:tc>
          <w:tcPr>
            <w:tcW w:w="1480" w:type="dxa"/>
          </w:tcPr>
          <w:p w14:paraId="2A7C3770" w14:textId="24CF0017"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3,296</w:t>
            </w:r>
          </w:p>
        </w:tc>
      </w:tr>
      <w:tr w:rsidR="00A74775" w:rsidRPr="00B16609" w14:paraId="5AB81C22" w14:textId="77777777" w:rsidTr="003B2A47">
        <w:tc>
          <w:tcPr>
            <w:tcW w:w="1479" w:type="dxa"/>
          </w:tcPr>
          <w:p w14:paraId="72444A89" w14:textId="2F6EB31A"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Espita</w:t>
            </w:r>
          </w:p>
        </w:tc>
        <w:tc>
          <w:tcPr>
            <w:tcW w:w="1479" w:type="dxa"/>
          </w:tcPr>
          <w:p w14:paraId="40EC4E8C" w14:textId="44D9ABD6"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16,779</w:t>
            </w:r>
          </w:p>
        </w:tc>
        <w:tc>
          <w:tcPr>
            <w:tcW w:w="1479" w:type="dxa"/>
          </w:tcPr>
          <w:p w14:paraId="448E368A" w14:textId="48CF4979"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Baca</w:t>
            </w:r>
          </w:p>
        </w:tc>
        <w:tc>
          <w:tcPr>
            <w:tcW w:w="1480" w:type="dxa"/>
          </w:tcPr>
          <w:p w14:paraId="1ECF1245" w14:textId="5342794D"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6,195</w:t>
            </w:r>
          </w:p>
        </w:tc>
        <w:tc>
          <w:tcPr>
            <w:tcW w:w="1480" w:type="dxa"/>
          </w:tcPr>
          <w:p w14:paraId="08FC9525" w14:textId="344346F3"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Yaxkukul</w:t>
            </w:r>
          </w:p>
        </w:tc>
        <w:tc>
          <w:tcPr>
            <w:tcW w:w="1480" w:type="dxa"/>
          </w:tcPr>
          <w:p w14:paraId="5CF26922" w14:textId="1405B4E4"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3,293</w:t>
            </w:r>
          </w:p>
        </w:tc>
      </w:tr>
      <w:tr w:rsidR="00A74775" w:rsidRPr="00B16609" w14:paraId="65BCC859" w14:textId="77777777" w:rsidTr="003B2A47">
        <w:tc>
          <w:tcPr>
            <w:tcW w:w="1479" w:type="dxa"/>
          </w:tcPr>
          <w:p w14:paraId="641C3BEF" w14:textId="6DA1FDD7"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Acanceh</w:t>
            </w:r>
          </w:p>
        </w:tc>
        <w:tc>
          <w:tcPr>
            <w:tcW w:w="1479" w:type="dxa"/>
          </w:tcPr>
          <w:p w14:paraId="2A343C22" w14:textId="7A941DC8"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16,772</w:t>
            </w:r>
          </w:p>
        </w:tc>
        <w:tc>
          <w:tcPr>
            <w:tcW w:w="1479" w:type="dxa"/>
          </w:tcPr>
          <w:p w14:paraId="30F3A4F1" w14:textId="383470B7"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Dzán</w:t>
            </w:r>
          </w:p>
        </w:tc>
        <w:tc>
          <w:tcPr>
            <w:tcW w:w="1480" w:type="dxa"/>
          </w:tcPr>
          <w:p w14:paraId="0E0B7B0F" w14:textId="4ED4EBFB"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6,003</w:t>
            </w:r>
          </w:p>
        </w:tc>
        <w:tc>
          <w:tcPr>
            <w:tcW w:w="1480" w:type="dxa"/>
          </w:tcPr>
          <w:p w14:paraId="697CA931" w14:textId="39F955C9"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Chumayel</w:t>
            </w:r>
          </w:p>
        </w:tc>
        <w:tc>
          <w:tcPr>
            <w:tcW w:w="1480" w:type="dxa"/>
          </w:tcPr>
          <w:p w14:paraId="6E73A639" w14:textId="2D5CDA62"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3,244</w:t>
            </w:r>
          </w:p>
        </w:tc>
      </w:tr>
      <w:tr w:rsidR="00A74775" w:rsidRPr="00B16609" w14:paraId="72559783" w14:textId="77777777" w:rsidTr="003B2A47">
        <w:tc>
          <w:tcPr>
            <w:tcW w:w="1479" w:type="dxa"/>
          </w:tcPr>
          <w:p w14:paraId="165EF0E6" w14:textId="1F478B74"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Temozón</w:t>
            </w:r>
          </w:p>
        </w:tc>
        <w:tc>
          <w:tcPr>
            <w:tcW w:w="1479" w:type="dxa"/>
          </w:tcPr>
          <w:p w14:paraId="534C76FA" w14:textId="16BD961E"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16,680</w:t>
            </w:r>
          </w:p>
        </w:tc>
        <w:tc>
          <w:tcPr>
            <w:tcW w:w="1479" w:type="dxa"/>
          </w:tcPr>
          <w:p w14:paraId="377D4357" w14:textId="596DCB4F"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Maní</w:t>
            </w:r>
          </w:p>
        </w:tc>
        <w:tc>
          <w:tcPr>
            <w:tcW w:w="1480" w:type="dxa"/>
          </w:tcPr>
          <w:p w14:paraId="5B8D375F" w14:textId="641D6858"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5,968</w:t>
            </w:r>
          </w:p>
        </w:tc>
        <w:tc>
          <w:tcPr>
            <w:tcW w:w="1480" w:type="dxa"/>
          </w:tcPr>
          <w:p w14:paraId="53921E63" w14:textId="5E32BDB0"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Sinanché</w:t>
            </w:r>
          </w:p>
        </w:tc>
        <w:tc>
          <w:tcPr>
            <w:tcW w:w="1480" w:type="dxa"/>
          </w:tcPr>
          <w:p w14:paraId="27A4A4DE" w14:textId="5BA3EBD7"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3,206</w:t>
            </w:r>
          </w:p>
        </w:tc>
      </w:tr>
      <w:tr w:rsidR="00A74775" w:rsidRPr="00B16609" w14:paraId="62813857" w14:textId="77777777" w:rsidTr="003B2A47">
        <w:tc>
          <w:tcPr>
            <w:tcW w:w="1479" w:type="dxa"/>
          </w:tcPr>
          <w:p w14:paraId="58A265A3" w14:textId="0234C07D"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Conkal</w:t>
            </w:r>
          </w:p>
        </w:tc>
        <w:tc>
          <w:tcPr>
            <w:tcW w:w="1479" w:type="dxa"/>
          </w:tcPr>
          <w:p w14:paraId="69221161" w14:textId="3CC928BE"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16,671</w:t>
            </w:r>
          </w:p>
        </w:tc>
        <w:tc>
          <w:tcPr>
            <w:tcW w:w="1479" w:type="dxa"/>
          </w:tcPr>
          <w:p w14:paraId="5B01970B" w14:textId="5738DF38"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Tahdziú</w:t>
            </w:r>
          </w:p>
        </w:tc>
        <w:tc>
          <w:tcPr>
            <w:tcW w:w="1480" w:type="dxa"/>
          </w:tcPr>
          <w:p w14:paraId="670C74E8" w14:textId="3BD84CB9"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5,854</w:t>
            </w:r>
          </w:p>
        </w:tc>
        <w:tc>
          <w:tcPr>
            <w:tcW w:w="1480" w:type="dxa"/>
          </w:tcPr>
          <w:p w14:paraId="63EDE868" w14:textId="3A9B8E51"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Chacsinkín</w:t>
            </w:r>
          </w:p>
        </w:tc>
        <w:tc>
          <w:tcPr>
            <w:tcW w:w="1480" w:type="dxa"/>
          </w:tcPr>
          <w:p w14:paraId="38F9CED9" w14:textId="7CAF92E3"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3,104</w:t>
            </w:r>
          </w:p>
        </w:tc>
      </w:tr>
      <w:tr w:rsidR="00A74775" w:rsidRPr="00B16609" w14:paraId="0DCAACC0" w14:textId="77777777" w:rsidTr="003B2A47">
        <w:tc>
          <w:tcPr>
            <w:tcW w:w="1479" w:type="dxa"/>
          </w:tcPr>
          <w:p w14:paraId="125B55D3" w14:textId="0C2CD6BF"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Yaxcabá</w:t>
            </w:r>
          </w:p>
        </w:tc>
        <w:tc>
          <w:tcPr>
            <w:tcW w:w="1479" w:type="dxa"/>
          </w:tcPr>
          <w:p w14:paraId="54F82890" w14:textId="2F372013"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16,350</w:t>
            </w:r>
          </w:p>
        </w:tc>
        <w:tc>
          <w:tcPr>
            <w:tcW w:w="1479" w:type="dxa"/>
          </w:tcPr>
          <w:p w14:paraId="4F38FCE5" w14:textId="740425D4"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Tixpéhual</w:t>
            </w:r>
          </w:p>
        </w:tc>
        <w:tc>
          <w:tcPr>
            <w:tcW w:w="1480" w:type="dxa"/>
          </w:tcPr>
          <w:p w14:paraId="584ABC33" w14:textId="5E2C20F0"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5,690</w:t>
            </w:r>
          </w:p>
        </w:tc>
        <w:tc>
          <w:tcPr>
            <w:tcW w:w="1480" w:type="dxa"/>
          </w:tcPr>
          <w:p w14:paraId="4622D6A8" w14:textId="76A30A05"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Muxupip</w:t>
            </w:r>
          </w:p>
        </w:tc>
        <w:tc>
          <w:tcPr>
            <w:tcW w:w="1480" w:type="dxa"/>
          </w:tcPr>
          <w:p w14:paraId="4191B49C" w14:textId="67C44FE2"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2,990</w:t>
            </w:r>
          </w:p>
        </w:tc>
      </w:tr>
      <w:tr w:rsidR="00A74775" w:rsidRPr="00B16609" w14:paraId="749BF28A" w14:textId="77777777" w:rsidTr="003B2A47">
        <w:tc>
          <w:tcPr>
            <w:tcW w:w="1479" w:type="dxa"/>
          </w:tcPr>
          <w:p w14:paraId="335200B1" w14:textId="70D645B4"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Tzucacab</w:t>
            </w:r>
          </w:p>
        </w:tc>
        <w:tc>
          <w:tcPr>
            <w:tcW w:w="1479" w:type="dxa"/>
          </w:tcPr>
          <w:p w14:paraId="6BF14FF4" w14:textId="673CEB32"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15,346</w:t>
            </w:r>
          </w:p>
        </w:tc>
        <w:tc>
          <w:tcPr>
            <w:tcW w:w="1479" w:type="dxa"/>
          </w:tcPr>
          <w:p w14:paraId="239532B0" w14:textId="5DF878D1"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Samahil</w:t>
            </w:r>
          </w:p>
        </w:tc>
        <w:tc>
          <w:tcPr>
            <w:tcW w:w="1480" w:type="dxa"/>
          </w:tcPr>
          <w:p w14:paraId="2DC644C2" w14:textId="203FDDC4"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5,631</w:t>
            </w:r>
          </w:p>
        </w:tc>
        <w:tc>
          <w:tcPr>
            <w:tcW w:w="1480" w:type="dxa"/>
          </w:tcPr>
          <w:p w14:paraId="2A489082" w14:textId="71398ADB"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Dzilam de Bravo</w:t>
            </w:r>
          </w:p>
        </w:tc>
        <w:tc>
          <w:tcPr>
            <w:tcW w:w="1480" w:type="dxa"/>
          </w:tcPr>
          <w:p w14:paraId="3CDC9063" w14:textId="4790FA21"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2,936</w:t>
            </w:r>
          </w:p>
        </w:tc>
      </w:tr>
      <w:tr w:rsidR="00A74775" w:rsidRPr="00B16609" w14:paraId="4CF30314" w14:textId="77777777" w:rsidTr="003B2A47">
        <w:tc>
          <w:tcPr>
            <w:tcW w:w="1479" w:type="dxa"/>
          </w:tcPr>
          <w:p w14:paraId="73A2B52B" w14:textId="49C3D694" w:rsidR="00A74775" w:rsidRPr="00B16609" w:rsidRDefault="00A74775" w:rsidP="00A74775">
            <w:pPr>
              <w:spacing w:after="63"/>
              <w:ind w:left="0" w:right="34" w:firstLine="0"/>
              <w:rPr>
                <w:rFonts w:ascii="Arial" w:eastAsia="Calibri" w:hAnsi="Arial" w:cs="Arial"/>
                <w:b/>
                <w:color w:val="404040"/>
              </w:rPr>
            </w:pPr>
            <w:r w:rsidRPr="00B16609">
              <w:rPr>
                <w:rFonts w:ascii="Arial" w:eastAsia="Calibri" w:hAnsi="Arial" w:cs="Arial"/>
                <w:b/>
                <w:color w:val="404040"/>
              </w:rPr>
              <w:t>Muna</w:t>
            </w:r>
          </w:p>
        </w:tc>
        <w:tc>
          <w:tcPr>
            <w:tcW w:w="1479" w:type="dxa"/>
          </w:tcPr>
          <w:p w14:paraId="440D1680" w14:textId="790BD842" w:rsidR="00A74775" w:rsidRPr="00B16609" w:rsidRDefault="00A74775" w:rsidP="00A74775">
            <w:pPr>
              <w:spacing w:after="63"/>
              <w:ind w:left="0" w:right="34" w:firstLine="0"/>
              <w:rPr>
                <w:rFonts w:ascii="Arial" w:eastAsia="Calibri" w:hAnsi="Arial" w:cs="Arial"/>
                <w:color w:val="404040"/>
              </w:rPr>
            </w:pPr>
            <w:r w:rsidRPr="00B16609">
              <w:rPr>
                <w:rFonts w:ascii="Arial" w:eastAsia="Calibri" w:hAnsi="Arial" w:cs="Arial"/>
                <w:color w:val="404040"/>
              </w:rPr>
              <w:t>13,494</w:t>
            </w:r>
          </w:p>
        </w:tc>
        <w:tc>
          <w:tcPr>
            <w:tcW w:w="1479" w:type="dxa"/>
          </w:tcPr>
          <w:p w14:paraId="45250B49" w14:textId="4D2B7B00"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Cuzamá</w:t>
            </w:r>
          </w:p>
        </w:tc>
        <w:tc>
          <w:tcPr>
            <w:tcW w:w="1480" w:type="dxa"/>
          </w:tcPr>
          <w:p w14:paraId="392EC0BE" w14:textId="181A7DD4"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5,560</w:t>
            </w:r>
          </w:p>
        </w:tc>
        <w:tc>
          <w:tcPr>
            <w:tcW w:w="1480" w:type="dxa"/>
          </w:tcPr>
          <w:p w14:paraId="51A50EF7" w14:textId="1FD8A685"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Dzoncauich</w:t>
            </w:r>
          </w:p>
        </w:tc>
        <w:tc>
          <w:tcPr>
            <w:tcW w:w="1480" w:type="dxa"/>
          </w:tcPr>
          <w:p w14:paraId="443C00AF" w14:textId="557910AF"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2,818</w:t>
            </w:r>
          </w:p>
        </w:tc>
      </w:tr>
      <w:tr w:rsidR="00A74775" w:rsidRPr="00B16609" w14:paraId="23570CB9" w14:textId="77777777" w:rsidTr="003B2A47">
        <w:tc>
          <w:tcPr>
            <w:tcW w:w="1479" w:type="dxa"/>
          </w:tcPr>
          <w:p w14:paraId="708539DD" w14:textId="56745CC7" w:rsidR="00A74775" w:rsidRPr="00B16609" w:rsidRDefault="00A74775" w:rsidP="00A74775">
            <w:pPr>
              <w:spacing w:after="63"/>
              <w:ind w:left="0" w:right="34" w:firstLine="0"/>
              <w:rPr>
                <w:rFonts w:ascii="Arial" w:eastAsia="Calibri" w:hAnsi="Arial" w:cs="Arial"/>
                <w:b/>
                <w:color w:val="404040"/>
              </w:rPr>
            </w:pPr>
            <w:r w:rsidRPr="00B16609">
              <w:rPr>
                <w:rFonts w:ascii="Arial" w:eastAsia="Calibri" w:hAnsi="Arial" w:cs="Arial"/>
                <w:b/>
                <w:color w:val="404040"/>
              </w:rPr>
              <w:t>Tinum</w:t>
            </w:r>
          </w:p>
        </w:tc>
        <w:tc>
          <w:tcPr>
            <w:tcW w:w="1479" w:type="dxa"/>
          </w:tcPr>
          <w:p w14:paraId="4209BA29" w14:textId="4918216C" w:rsidR="00A74775" w:rsidRPr="00B16609" w:rsidRDefault="00A74775" w:rsidP="00A74775">
            <w:pPr>
              <w:spacing w:after="63"/>
              <w:ind w:left="0" w:right="34" w:firstLine="0"/>
              <w:rPr>
                <w:rFonts w:ascii="Arial" w:eastAsia="Calibri" w:hAnsi="Arial" w:cs="Arial"/>
                <w:color w:val="404040"/>
              </w:rPr>
            </w:pPr>
            <w:r w:rsidRPr="00B16609">
              <w:rPr>
                <w:rFonts w:ascii="Arial" w:eastAsia="Calibri" w:hAnsi="Arial" w:cs="Arial"/>
                <w:color w:val="404040"/>
              </w:rPr>
              <w:t>12,700</w:t>
            </w:r>
          </w:p>
        </w:tc>
        <w:tc>
          <w:tcPr>
            <w:tcW w:w="1479" w:type="dxa"/>
          </w:tcPr>
          <w:p w14:paraId="0A379FDF" w14:textId="4B59E4CA"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Kantunil</w:t>
            </w:r>
          </w:p>
        </w:tc>
        <w:tc>
          <w:tcPr>
            <w:tcW w:w="1480" w:type="dxa"/>
          </w:tcPr>
          <w:p w14:paraId="12FCF3D9" w14:textId="52AAEAC1"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5,553</w:t>
            </w:r>
          </w:p>
        </w:tc>
        <w:tc>
          <w:tcPr>
            <w:tcW w:w="1480" w:type="dxa"/>
          </w:tcPr>
          <w:p w14:paraId="0D238A67" w14:textId="2081F7A5"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Cantamayec</w:t>
            </w:r>
          </w:p>
        </w:tc>
        <w:tc>
          <w:tcPr>
            <w:tcW w:w="1480" w:type="dxa"/>
          </w:tcPr>
          <w:p w14:paraId="2781383C" w14:textId="35064843"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2,755</w:t>
            </w:r>
          </w:p>
        </w:tc>
      </w:tr>
      <w:tr w:rsidR="00A74775" w:rsidRPr="00B16609" w14:paraId="16E4F8A0" w14:textId="77777777" w:rsidTr="003B2A47">
        <w:tc>
          <w:tcPr>
            <w:tcW w:w="1479" w:type="dxa"/>
          </w:tcPr>
          <w:p w14:paraId="71C19C9C" w14:textId="3DC711FD" w:rsidR="00A74775" w:rsidRPr="00B16609" w:rsidRDefault="00A74775" w:rsidP="00A74775">
            <w:pPr>
              <w:spacing w:after="63"/>
              <w:ind w:left="0" w:right="34" w:firstLine="0"/>
              <w:rPr>
                <w:rFonts w:ascii="Arial" w:eastAsia="Calibri" w:hAnsi="Arial" w:cs="Arial"/>
                <w:b/>
                <w:color w:val="404040"/>
              </w:rPr>
            </w:pPr>
            <w:r w:rsidRPr="00B16609">
              <w:rPr>
                <w:rFonts w:ascii="Arial" w:eastAsia="Calibri" w:hAnsi="Arial" w:cs="Arial"/>
                <w:b/>
                <w:color w:val="404040"/>
              </w:rPr>
              <w:t>Akil</w:t>
            </w:r>
          </w:p>
        </w:tc>
        <w:tc>
          <w:tcPr>
            <w:tcW w:w="1479" w:type="dxa"/>
          </w:tcPr>
          <w:p w14:paraId="2BA1F426" w14:textId="1909E404" w:rsidR="00A74775" w:rsidRPr="00B16609" w:rsidRDefault="00A74775" w:rsidP="00A74775">
            <w:pPr>
              <w:spacing w:after="63"/>
              <w:ind w:left="0" w:right="34" w:firstLine="0"/>
              <w:rPr>
                <w:rFonts w:ascii="Arial" w:eastAsia="Calibri" w:hAnsi="Arial" w:cs="Arial"/>
                <w:color w:val="404040"/>
              </w:rPr>
            </w:pPr>
            <w:r w:rsidRPr="00B16609">
              <w:rPr>
                <w:rFonts w:ascii="Arial" w:eastAsia="Calibri" w:hAnsi="Arial" w:cs="Arial"/>
                <w:color w:val="404040"/>
              </w:rPr>
              <w:t>12,285</w:t>
            </w:r>
          </w:p>
        </w:tc>
        <w:tc>
          <w:tcPr>
            <w:tcW w:w="1479" w:type="dxa"/>
          </w:tcPr>
          <w:p w14:paraId="7F2029CC" w14:textId="01FCD1FF"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Tetiz</w:t>
            </w:r>
          </w:p>
        </w:tc>
        <w:tc>
          <w:tcPr>
            <w:tcW w:w="1480" w:type="dxa"/>
          </w:tcPr>
          <w:p w14:paraId="0FF068B4" w14:textId="5B10DBFB"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5,464</w:t>
            </w:r>
          </w:p>
        </w:tc>
        <w:tc>
          <w:tcPr>
            <w:tcW w:w="1480" w:type="dxa"/>
          </w:tcPr>
          <w:p w14:paraId="14ED82F5" w14:textId="4D0F0B94"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Tekal de Venegas</w:t>
            </w:r>
          </w:p>
        </w:tc>
        <w:tc>
          <w:tcPr>
            <w:tcW w:w="1480" w:type="dxa"/>
          </w:tcPr>
          <w:p w14:paraId="76C5A201" w14:textId="553C136B"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2,683</w:t>
            </w:r>
          </w:p>
        </w:tc>
      </w:tr>
      <w:tr w:rsidR="00A74775" w:rsidRPr="00B16609" w14:paraId="3BCA530B" w14:textId="77777777" w:rsidTr="003B2A47">
        <w:tc>
          <w:tcPr>
            <w:tcW w:w="1479" w:type="dxa"/>
          </w:tcPr>
          <w:p w14:paraId="51496EE2" w14:textId="2B7D1D69" w:rsidR="00A74775" w:rsidRPr="00B16609" w:rsidRDefault="00A74775" w:rsidP="00A74775">
            <w:pPr>
              <w:spacing w:after="63"/>
              <w:ind w:left="0" w:right="34" w:firstLine="0"/>
              <w:rPr>
                <w:rFonts w:ascii="Arial" w:eastAsia="Calibri" w:hAnsi="Arial" w:cs="Arial"/>
                <w:b/>
                <w:color w:val="404040"/>
              </w:rPr>
            </w:pPr>
            <w:r w:rsidRPr="00B16609">
              <w:rPr>
                <w:rFonts w:ascii="Arial" w:eastAsia="Calibri" w:hAnsi="Arial" w:cs="Arial"/>
                <w:b/>
                <w:color w:val="404040"/>
              </w:rPr>
              <w:t>Tekit</w:t>
            </w:r>
          </w:p>
        </w:tc>
        <w:tc>
          <w:tcPr>
            <w:tcW w:w="1479" w:type="dxa"/>
          </w:tcPr>
          <w:p w14:paraId="092FB536" w14:textId="79DE0235" w:rsidR="00A74775" w:rsidRPr="00B16609" w:rsidRDefault="00A74775" w:rsidP="00A74775">
            <w:pPr>
              <w:spacing w:after="63"/>
              <w:ind w:left="0" w:right="34" w:firstLine="0"/>
              <w:rPr>
                <w:rFonts w:ascii="Arial" w:eastAsia="Calibri" w:hAnsi="Arial" w:cs="Arial"/>
                <w:color w:val="404040"/>
              </w:rPr>
            </w:pPr>
            <w:r w:rsidRPr="00B16609">
              <w:rPr>
                <w:rFonts w:ascii="Arial" w:eastAsia="Calibri" w:hAnsi="Arial" w:cs="Arial"/>
                <w:color w:val="404040"/>
              </w:rPr>
              <w:t>11,020</w:t>
            </w:r>
          </w:p>
        </w:tc>
        <w:tc>
          <w:tcPr>
            <w:tcW w:w="1479" w:type="dxa"/>
          </w:tcPr>
          <w:p w14:paraId="06479BAF" w14:textId="30D41CCE"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Tixmehuac</w:t>
            </w:r>
          </w:p>
        </w:tc>
        <w:tc>
          <w:tcPr>
            <w:tcW w:w="1480" w:type="dxa"/>
          </w:tcPr>
          <w:p w14:paraId="042C2B7F" w14:textId="5461D58A"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5,444</w:t>
            </w:r>
          </w:p>
        </w:tc>
        <w:tc>
          <w:tcPr>
            <w:tcW w:w="1480" w:type="dxa"/>
          </w:tcPr>
          <w:p w14:paraId="2D8D4CFA" w14:textId="7CC1C3DD"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Kopomá</w:t>
            </w:r>
          </w:p>
        </w:tc>
        <w:tc>
          <w:tcPr>
            <w:tcW w:w="1480" w:type="dxa"/>
          </w:tcPr>
          <w:p w14:paraId="20CEE23F" w14:textId="3083E6E1"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2,677</w:t>
            </w:r>
          </w:p>
        </w:tc>
      </w:tr>
      <w:tr w:rsidR="00A74775" w:rsidRPr="00B16609" w14:paraId="35AA48B4" w14:textId="77777777" w:rsidTr="003B2A47">
        <w:tc>
          <w:tcPr>
            <w:tcW w:w="1479" w:type="dxa"/>
          </w:tcPr>
          <w:p w14:paraId="2B2C6CD0" w14:textId="5507ACE1" w:rsidR="00A74775" w:rsidRPr="00B16609" w:rsidRDefault="00A74775" w:rsidP="00A74775">
            <w:pPr>
              <w:spacing w:after="63"/>
              <w:ind w:left="0" w:right="34" w:firstLine="0"/>
              <w:rPr>
                <w:rFonts w:ascii="Arial" w:eastAsia="Calibri" w:hAnsi="Arial" w:cs="Arial"/>
                <w:b/>
                <w:color w:val="404040"/>
              </w:rPr>
            </w:pPr>
            <w:r w:rsidRPr="00B16609">
              <w:rPr>
                <w:rFonts w:ascii="Arial" w:eastAsia="Calibri" w:hAnsi="Arial" w:cs="Arial"/>
                <w:b/>
                <w:color w:val="404040"/>
              </w:rPr>
              <w:t>Seyé</w:t>
            </w:r>
          </w:p>
        </w:tc>
        <w:tc>
          <w:tcPr>
            <w:tcW w:w="1479" w:type="dxa"/>
          </w:tcPr>
          <w:p w14:paraId="6257351D" w14:textId="228016B8" w:rsidR="00A74775" w:rsidRPr="00B16609" w:rsidRDefault="00A74775" w:rsidP="00A74775">
            <w:pPr>
              <w:spacing w:after="63"/>
              <w:ind w:left="0" w:right="34" w:firstLine="0"/>
              <w:rPr>
                <w:rFonts w:ascii="Arial" w:eastAsia="Calibri" w:hAnsi="Arial" w:cs="Arial"/>
                <w:color w:val="404040"/>
              </w:rPr>
            </w:pPr>
            <w:r w:rsidRPr="00B16609">
              <w:rPr>
                <w:rFonts w:ascii="Arial" w:eastAsia="Calibri" w:hAnsi="Arial" w:cs="Arial"/>
                <w:color w:val="404040"/>
              </w:rPr>
              <w:t>10,053</w:t>
            </w:r>
          </w:p>
        </w:tc>
        <w:tc>
          <w:tcPr>
            <w:tcW w:w="1479" w:type="dxa"/>
          </w:tcPr>
          <w:p w14:paraId="469D734D" w14:textId="4849ECA5"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Huhí</w:t>
            </w:r>
          </w:p>
        </w:tc>
        <w:tc>
          <w:tcPr>
            <w:tcW w:w="1480" w:type="dxa"/>
          </w:tcPr>
          <w:p w14:paraId="215D1BAE" w14:textId="570843CA"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5,250</w:t>
            </w:r>
          </w:p>
        </w:tc>
        <w:tc>
          <w:tcPr>
            <w:tcW w:w="1480" w:type="dxa"/>
          </w:tcPr>
          <w:p w14:paraId="0BFB995D" w14:textId="4F3D074D"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Yobaín</w:t>
            </w:r>
          </w:p>
        </w:tc>
        <w:tc>
          <w:tcPr>
            <w:tcW w:w="1480" w:type="dxa"/>
          </w:tcPr>
          <w:p w14:paraId="4E372C46" w14:textId="734DEC56"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2,215</w:t>
            </w:r>
          </w:p>
        </w:tc>
      </w:tr>
      <w:tr w:rsidR="00A74775" w:rsidRPr="00B16609" w14:paraId="24EEEA60" w14:textId="77777777" w:rsidTr="003B2A47">
        <w:tc>
          <w:tcPr>
            <w:tcW w:w="1479" w:type="dxa"/>
          </w:tcPr>
          <w:p w14:paraId="2DED4648" w14:textId="40A3583B" w:rsidR="00A74775" w:rsidRPr="00B16609" w:rsidRDefault="00A74775" w:rsidP="00A74775">
            <w:pPr>
              <w:spacing w:after="63"/>
              <w:ind w:left="0" w:right="34" w:firstLine="0"/>
              <w:rPr>
                <w:rFonts w:ascii="Arial" w:eastAsia="Calibri" w:hAnsi="Arial" w:cs="Arial"/>
                <w:b/>
                <w:color w:val="404040"/>
              </w:rPr>
            </w:pPr>
          </w:p>
        </w:tc>
        <w:tc>
          <w:tcPr>
            <w:tcW w:w="1479" w:type="dxa"/>
          </w:tcPr>
          <w:p w14:paraId="02AE0BB5" w14:textId="557C938B" w:rsidR="00A74775" w:rsidRPr="00B16609" w:rsidRDefault="00A74775" w:rsidP="00A74775">
            <w:pPr>
              <w:spacing w:after="63"/>
              <w:ind w:left="0" w:right="34" w:firstLine="0"/>
              <w:rPr>
                <w:rFonts w:ascii="Arial" w:eastAsia="Calibri" w:hAnsi="Arial" w:cs="Arial"/>
                <w:color w:val="404040"/>
              </w:rPr>
            </w:pPr>
          </w:p>
        </w:tc>
        <w:tc>
          <w:tcPr>
            <w:tcW w:w="1479" w:type="dxa"/>
          </w:tcPr>
          <w:p w14:paraId="6A03C02B" w14:textId="731D9204"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Sacalum</w:t>
            </w:r>
          </w:p>
        </w:tc>
        <w:tc>
          <w:tcPr>
            <w:tcW w:w="1480" w:type="dxa"/>
          </w:tcPr>
          <w:p w14:paraId="2CF03247" w14:textId="5077AA66"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4,962</w:t>
            </w:r>
          </w:p>
        </w:tc>
        <w:tc>
          <w:tcPr>
            <w:tcW w:w="1480" w:type="dxa"/>
          </w:tcPr>
          <w:p w14:paraId="15C5938E" w14:textId="0F709781"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Bokobá</w:t>
            </w:r>
          </w:p>
        </w:tc>
        <w:tc>
          <w:tcPr>
            <w:tcW w:w="1480" w:type="dxa"/>
          </w:tcPr>
          <w:p w14:paraId="57BA662E" w14:textId="6D70F7DE"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2,167</w:t>
            </w:r>
          </w:p>
        </w:tc>
      </w:tr>
      <w:tr w:rsidR="00A74775" w:rsidRPr="00B16609" w14:paraId="3CED5052" w14:textId="77777777" w:rsidTr="003B2A47">
        <w:tc>
          <w:tcPr>
            <w:tcW w:w="1479" w:type="dxa"/>
          </w:tcPr>
          <w:p w14:paraId="18B8E0D5" w14:textId="77777777" w:rsidR="00A74775" w:rsidRPr="00B16609" w:rsidRDefault="00A74775" w:rsidP="00A74775">
            <w:pPr>
              <w:spacing w:after="63"/>
              <w:ind w:left="0" w:right="34" w:firstLine="0"/>
              <w:rPr>
                <w:rFonts w:ascii="Arial" w:eastAsia="Calibri" w:hAnsi="Arial" w:cs="Arial"/>
                <w:b/>
                <w:color w:val="404040"/>
              </w:rPr>
            </w:pPr>
          </w:p>
        </w:tc>
        <w:tc>
          <w:tcPr>
            <w:tcW w:w="1479" w:type="dxa"/>
          </w:tcPr>
          <w:p w14:paraId="07960F1E" w14:textId="77777777" w:rsidR="00A74775" w:rsidRPr="00B16609" w:rsidRDefault="00A74775" w:rsidP="00A74775">
            <w:pPr>
              <w:spacing w:after="63"/>
              <w:ind w:left="0" w:right="34" w:firstLine="0"/>
              <w:rPr>
                <w:rFonts w:ascii="Arial" w:eastAsia="Calibri" w:hAnsi="Arial" w:cs="Arial"/>
                <w:color w:val="404040"/>
              </w:rPr>
            </w:pPr>
          </w:p>
        </w:tc>
        <w:tc>
          <w:tcPr>
            <w:tcW w:w="1479" w:type="dxa"/>
          </w:tcPr>
          <w:p w14:paraId="22CEAD2B" w14:textId="19D0EA24"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Chocholá</w:t>
            </w:r>
          </w:p>
        </w:tc>
        <w:tc>
          <w:tcPr>
            <w:tcW w:w="1480" w:type="dxa"/>
          </w:tcPr>
          <w:p w14:paraId="6DD61818" w14:textId="7EB32DCF"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4,863</w:t>
            </w:r>
          </w:p>
        </w:tc>
        <w:tc>
          <w:tcPr>
            <w:tcW w:w="1480" w:type="dxa"/>
          </w:tcPr>
          <w:p w14:paraId="496749E1" w14:textId="21E1EED8"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Tepakán</w:t>
            </w:r>
          </w:p>
        </w:tc>
        <w:tc>
          <w:tcPr>
            <w:tcW w:w="1480" w:type="dxa"/>
          </w:tcPr>
          <w:p w14:paraId="1A8A0BA4" w14:textId="73949D39"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2,133</w:t>
            </w:r>
          </w:p>
        </w:tc>
      </w:tr>
      <w:tr w:rsidR="00A74775" w:rsidRPr="00B16609" w14:paraId="3A59A97C" w14:textId="77777777" w:rsidTr="003B2A47">
        <w:tc>
          <w:tcPr>
            <w:tcW w:w="1479" w:type="dxa"/>
          </w:tcPr>
          <w:p w14:paraId="14EE1036" w14:textId="77777777" w:rsidR="00A74775" w:rsidRPr="00B16609" w:rsidRDefault="00A74775" w:rsidP="00A74775">
            <w:pPr>
              <w:spacing w:after="63"/>
              <w:ind w:left="0" w:right="34" w:firstLine="0"/>
              <w:rPr>
                <w:rFonts w:ascii="Arial" w:eastAsia="Calibri" w:hAnsi="Arial" w:cs="Arial"/>
                <w:b/>
                <w:color w:val="404040"/>
              </w:rPr>
            </w:pPr>
          </w:p>
        </w:tc>
        <w:tc>
          <w:tcPr>
            <w:tcW w:w="1479" w:type="dxa"/>
          </w:tcPr>
          <w:p w14:paraId="0BF0B22D" w14:textId="77777777" w:rsidR="00A74775" w:rsidRPr="00B16609" w:rsidRDefault="00A74775" w:rsidP="00A74775">
            <w:pPr>
              <w:spacing w:after="63"/>
              <w:ind w:left="0" w:right="34" w:firstLine="0"/>
              <w:rPr>
                <w:rFonts w:ascii="Arial" w:eastAsia="Calibri" w:hAnsi="Arial" w:cs="Arial"/>
                <w:color w:val="404040"/>
              </w:rPr>
            </w:pPr>
          </w:p>
        </w:tc>
        <w:tc>
          <w:tcPr>
            <w:tcW w:w="1479" w:type="dxa"/>
          </w:tcPr>
          <w:p w14:paraId="2BF0118F" w14:textId="3AF14A06"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Chankom</w:t>
            </w:r>
          </w:p>
        </w:tc>
        <w:tc>
          <w:tcPr>
            <w:tcW w:w="1480" w:type="dxa"/>
          </w:tcPr>
          <w:p w14:paraId="33DE710B" w14:textId="55B18A57"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4,686</w:t>
            </w:r>
          </w:p>
        </w:tc>
        <w:tc>
          <w:tcPr>
            <w:tcW w:w="1480" w:type="dxa"/>
          </w:tcPr>
          <w:p w14:paraId="77A38185" w14:textId="27607BDC"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San Felipe</w:t>
            </w:r>
          </w:p>
        </w:tc>
        <w:tc>
          <w:tcPr>
            <w:tcW w:w="1480" w:type="dxa"/>
          </w:tcPr>
          <w:p w14:paraId="56ACB2F1" w14:textId="3B7C6CD5"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2,118</w:t>
            </w:r>
          </w:p>
        </w:tc>
      </w:tr>
      <w:tr w:rsidR="00A74775" w:rsidRPr="00B16609" w14:paraId="1099B9C7" w14:textId="77777777" w:rsidTr="003B2A47">
        <w:tc>
          <w:tcPr>
            <w:tcW w:w="1479" w:type="dxa"/>
          </w:tcPr>
          <w:p w14:paraId="2CB53A4E" w14:textId="77777777" w:rsidR="00A74775" w:rsidRPr="00B16609" w:rsidRDefault="00A74775" w:rsidP="00A74775">
            <w:pPr>
              <w:spacing w:after="63"/>
              <w:ind w:left="0" w:right="34" w:firstLine="0"/>
              <w:rPr>
                <w:rFonts w:ascii="Arial" w:eastAsia="Calibri" w:hAnsi="Arial" w:cs="Arial"/>
                <w:b/>
                <w:color w:val="404040"/>
              </w:rPr>
            </w:pPr>
          </w:p>
        </w:tc>
        <w:tc>
          <w:tcPr>
            <w:tcW w:w="1479" w:type="dxa"/>
          </w:tcPr>
          <w:p w14:paraId="3F8A967B" w14:textId="77777777" w:rsidR="00A74775" w:rsidRPr="00B16609" w:rsidRDefault="00A74775" w:rsidP="00A74775">
            <w:pPr>
              <w:spacing w:after="63"/>
              <w:ind w:left="0" w:right="34" w:firstLine="0"/>
              <w:rPr>
                <w:rFonts w:ascii="Arial" w:eastAsia="Calibri" w:hAnsi="Arial" w:cs="Arial"/>
                <w:color w:val="404040"/>
              </w:rPr>
            </w:pPr>
          </w:p>
        </w:tc>
        <w:tc>
          <w:tcPr>
            <w:tcW w:w="1479" w:type="dxa"/>
          </w:tcPr>
          <w:p w14:paraId="42BBC5D9" w14:textId="1715145C"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Chicxulub Pueblo</w:t>
            </w:r>
          </w:p>
        </w:tc>
        <w:tc>
          <w:tcPr>
            <w:tcW w:w="1480" w:type="dxa"/>
          </w:tcPr>
          <w:p w14:paraId="38A1F584" w14:textId="1EBABE5A"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4,497</w:t>
            </w:r>
          </w:p>
        </w:tc>
        <w:tc>
          <w:tcPr>
            <w:tcW w:w="1480" w:type="dxa"/>
          </w:tcPr>
          <w:p w14:paraId="3854A112" w14:textId="2F67ECEA"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Sudzal</w:t>
            </w:r>
          </w:p>
        </w:tc>
        <w:tc>
          <w:tcPr>
            <w:tcW w:w="1480" w:type="dxa"/>
          </w:tcPr>
          <w:p w14:paraId="21B3FA65" w14:textId="40F89610"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1,949</w:t>
            </w:r>
          </w:p>
        </w:tc>
      </w:tr>
      <w:tr w:rsidR="00A74775" w:rsidRPr="00B16609" w14:paraId="6B1063E5" w14:textId="77777777" w:rsidTr="003B2A47">
        <w:tc>
          <w:tcPr>
            <w:tcW w:w="1479" w:type="dxa"/>
          </w:tcPr>
          <w:p w14:paraId="0153FADE" w14:textId="77777777" w:rsidR="00A74775" w:rsidRPr="00B16609" w:rsidRDefault="00A74775" w:rsidP="00A74775">
            <w:pPr>
              <w:spacing w:after="63"/>
              <w:ind w:left="0" w:right="34" w:firstLine="0"/>
              <w:rPr>
                <w:rFonts w:ascii="Arial" w:eastAsia="Calibri" w:hAnsi="Arial" w:cs="Arial"/>
                <w:b/>
                <w:color w:val="404040"/>
              </w:rPr>
            </w:pPr>
          </w:p>
        </w:tc>
        <w:tc>
          <w:tcPr>
            <w:tcW w:w="1479" w:type="dxa"/>
          </w:tcPr>
          <w:p w14:paraId="0DCBC1F6" w14:textId="77777777" w:rsidR="00A74775" w:rsidRPr="00B16609" w:rsidRDefault="00A74775" w:rsidP="00A74775">
            <w:pPr>
              <w:spacing w:after="63"/>
              <w:ind w:left="0" w:right="34" w:firstLine="0"/>
              <w:rPr>
                <w:rFonts w:ascii="Arial" w:eastAsia="Calibri" w:hAnsi="Arial" w:cs="Arial"/>
                <w:color w:val="404040"/>
              </w:rPr>
            </w:pPr>
          </w:p>
        </w:tc>
        <w:tc>
          <w:tcPr>
            <w:tcW w:w="1479" w:type="dxa"/>
          </w:tcPr>
          <w:p w14:paraId="5CDCAD65" w14:textId="7D254D9F"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Cansahcab</w:t>
            </w:r>
          </w:p>
        </w:tc>
        <w:tc>
          <w:tcPr>
            <w:tcW w:w="1480" w:type="dxa"/>
          </w:tcPr>
          <w:p w14:paraId="18F4D56C" w14:textId="1B1FBF2E"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4,466</w:t>
            </w:r>
          </w:p>
        </w:tc>
        <w:tc>
          <w:tcPr>
            <w:tcW w:w="1480" w:type="dxa"/>
          </w:tcPr>
          <w:p w14:paraId="03AC4450" w14:textId="1BA1C17A"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Teya</w:t>
            </w:r>
          </w:p>
        </w:tc>
        <w:tc>
          <w:tcPr>
            <w:tcW w:w="1480" w:type="dxa"/>
          </w:tcPr>
          <w:p w14:paraId="02C56DC2" w14:textId="27881ABF"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1,917</w:t>
            </w:r>
          </w:p>
        </w:tc>
      </w:tr>
      <w:tr w:rsidR="00A74775" w:rsidRPr="00B16609" w14:paraId="2F5670DC" w14:textId="77777777" w:rsidTr="003B2A47">
        <w:tc>
          <w:tcPr>
            <w:tcW w:w="1479" w:type="dxa"/>
          </w:tcPr>
          <w:p w14:paraId="287CA917" w14:textId="77777777" w:rsidR="00A74775" w:rsidRPr="00B16609" w:rsidRDefault="00A74775" w:rsidP="00A74775">
            <w:pPr>
              <w:spacing w:after="63"/>
              <w:ind w:left="0" w:right="34" w:firstLine="0"/>
              <w:rPr>
                <w:rFonts w:ascii="Arial" w:eastAsia="Calibri" w:hAnsi="Arial" w:cs="Arial"/>
                <w:b/>
                <w:color w:val="404040"/>
              </w:rPr>
            </w:pPr>
          </w:p>
        </w:tc>
        <w:tc>
          <w:tcPr>
            <w:tcW w:w="1479" w:type="dxa"/>
          </w:tcPr>
          <w:p w14:paraId="516F8CB4" w14:textId="77777777" w:rsidR="00A74775" w:rsidRPr="00B16609" w:rsidRDefault="00A74775" w:rsidP="00A74775">
            <w:pPr>
              <w:spacing w:after="63"/>
              <w:ind w:left="0" w:right="34" w:firstLine="0"/>
              <w:rPr>
                <w:rFonts w:ascii="Arial" w:eastAsia="Calibri" w:hAnsi="Arial" w:cs="Arial"/>
                <w:color w:val="404040"/>
              </w:rPr>
            </w:pPr>
          </w:p>
        </w:tc>
        <w:tc>
          <w:tcPr>
            <w:tcW w:w="1479" w:type="dxa"/>
          </w:tcPr>
          <w:p w14:paraId="3F75BBD1" w14:textId="2BF60946"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Chikindzonot</w:t>
            </w:r>
          </w:p>
        </w:tc>
        <w:tc>
          <w:tcPr>
            <w:tcW w:w="1480" w:type="dxa"/>
          </w:tcPr>
          <w:p w14:paraId="22B32661" w14:textId="18CE99CC"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4,363</w:t>
            </w:r>
          </w:p>
        </w:tc>
        <w:tc>
          <w:tcPr>
            <w:tcW w:w="1480" w:type="dxa"/>
          </w:tcPr>
          <w:p w14:paraId="4DD42ED4" w14:textId="2B76D86C"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Telchac Puerto</w:t>
            </w:r>
          </w:p>
        </w:tc>
        <w:tc>
          <w:tcPr>
            <w:tcW w:w="1480" w:type="dxa"/>
          </w:tcPr>
          <w:p w14:paraId="601561D1" w14:textId="09596235"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1,915</w:t>
            </w:r>
          </w:p>
        </w:tc>
      </w:tr>
      <w:tr w:rsidR="00A74775" w:rsidRPr="00B16609" w14:paraId="61A0A38A" w14:textId="77777777" w:rsidTr="003B2A47">
        <w:tc>
          <w:tcPr>
            <w:tcW w:w="1479" w:type="dxa"/>
          </w:tcPr>
          <w:p w14:paraId="56F8352E" w14:textId="77777777" w:rsidR="00A74775" w:rsidRPr="00B16609" w:rsidRDefault="00A74775" w:rsidP="00A74775">
            <w:pPr>
              <w:spacing w:after="63"/>
              <w:ind w:left="0" w:right="34" w:firstLine="0"/>
              <w:rPr>
                <w:rFonts w:ascii="Arial" w:eastAsia="Calibri" w:hAnsi="Arial" w:cs="Arial"/>
                <w:b/>
                <w:color w:val="404040"/>
              </w:rPr>
            </w:pPr>
          </w:p>
        </w:tc>
        <w:tc>
          <w:tcPr>
            <w:tcW w:w="1479" w:type="dxa"/>
          </w:tcPr>
          <w:p w14:paraId="0B1CF9DC" w14:textId="77777777" w:rsidR="00A74775" w:rsidRPr="00B16609" w:rsidRDefault="00A74775" w:rsidP="00A74775">
            <w:pPr>
              <w:spacing w:after="63"/>
              <w:ind w:left="0" w:right="34" w:firstLine="0"/>
              <w:rPr>
                <w:rFonts w:ascii="Arial" w:eastAsia="Calibri" w:hAnsi="Arial" w:cs="Arial"/>
                <w:color w:val="404040"/>
              </w:rPr>
            </w:pPr>
          </w:p>
        </w:tc>
        <w:tc>
          <w:tcPr>
            <w:tcW w:w="1479" w:type="dxa"/>
          </w:tcPr>
          <w:p w14:paraId="71AA1FB8" w14:textId="48EEF901"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Santa Elena</w:t>
            </w:r>
          </w:p>
        </w:tc>
        <w:tc>
          <w:tcPr>
            <w:tcW w:w="1480" w:type="dxa"/>
          </w:tcPr>
          <w:p w14:paraId="268FDBE4" w14:textId="12D389A9"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4,220</w:t>
            </w:r>
          </w:p>
        </w:tc>
        <w:tc>
          <w:tcPr>
            <w:tcW w:w="1480" w:type="dxa"/>
          </w:tcPr>
          <w:p w14:paraId="77F39204" w14:textId="45193CDB"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Suma</w:t>
            </w:r>
          </w:p>
        </w:tc>
        <w:tc>
          <w:tcPr>
            <w:tcW w:w="1480" w:type="dxa"/>
          </w:tcPr>
          <w:p w14:paraId="56359BA3" w14:textId="744080D6"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1,857</w:t>
            </w:r>
          </w:p>
        </w:tc>
      </w:tr>
      <w:tr w:rsidR="00A74775" w:rsidRPr="00B16609" w14:paraId="0803FD01" w14:textId="77777777" w:rsidTr="003B2A47">
        <w:tc>
          <w:tcPr>
            <w:tcW w:w="1479" w:type="dxa"/>
          </w:tcPr>
          <w:p w14:paraId="767064B6" w14:textId="77777777" w:rsidR="00A74775" w:rsidRPr="00B16609" w:rsidRDefault="00A74775" w:rsidP="00A74775">
            <w:pPr>
              <w:spacing w:after="63"/>
              <w:ind w:left="0" w:right="34" w:firstLine="0"/>
              <w:rPr>
                <w:rFonts w:ascii="Arial" w:eastAsia="Calibri" w:hAnsi="Arial" w:cs="Arial"/>
                <w:b/>
                <w:color w:val="404040"/>
              </w:rPr>
            </w:pPr>
          </w:p>
        </w:tc>
        <w:tc>
          <w:tcPr>
            <w:tcW w:w="1479" w:type="dxa"/>
          </w:tcPr>
          <w:p w14:paraId="50D486D6" w14:textId="77777777" w:rsidR="00A74775" w:rsidRPr="00B16609" w:rsidRDefault="00A74775" w:rsidP="00A74775">
            <w:pPr>
              <w:spacing w:after="63"/>
              <w:ind w:left="0" w:right="34" w:firstLine="0"/>
              <w:rPr>
                <w:rFonts w:ascii="Arial" w:eastAsia="Calibri" w:hAnsi="Arial" w:cs="Arial"/>
                <w:color w:val="404040"/>
              </w:rPr>
            </w:pPr>
          </w:p>
        </w:tc>
        <w:tc>
          <w:tcPr>
            <w:tcW w:w="1479" w:type="dxa"/>
          </w:tcPr>
          <w:p w14:paraId="0445AF2A" w14:textId="5854DA41"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Uayma</w:t>
            </w:r>
          </w:p>
        </w:tc>
        <w:tc>
          <w:tcPr>
            <w:tcW w:w="1480" w:type="dxa"/>
          </w:tcPr>
          <w:p w14:paraId="005D958F" w14:textId="4A45E2DA"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4,191</w:t>
            </w:r>
          </w:p>
        </w:tc>
        <w:tc>
          <w:tcPr>
            <w:tcW w:w="1480" w:type="dxa"/>
          </w:tcPr>
          <w:p w14:paraId="213F4460" w14:textId="699B856E"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Cuncunul</w:t>
            </w:r>
          </w:p>
        </w:tc>
        <w:tc>
          <w:tcPr>
            <w:tcW w:w="1480" w:type="dxa"/>
          </w:tcPr>
          <w:p w14:paraId="132EDDE9" w14:textId="0E5AB830"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1,714</w:t>
            </w:r>
          </w:p>
        </w:tc>
      </w:tr>
      <w:tr w:rsidR="00A74775" w:rsidRPr="00B16609" w14:paraId="73BEE60E" w14:textId="77777777" w:rsidTr="003B2A47">
        <w:tc>
          <w:tcPr>
            <w:tcW w:w="1479" w:type="dxa"/>
          </w:tcPr>
          <w:p w14:paraId="5AF5F17E" w14:textId="77777777" w:rsidR="00A74775" w:rsidRPr="00B16609" w:rsidRDefault="00A74775" w:rsidP="00A74775">
            <w:pPr>
              <w:spacing w:after="63"/>
              <w:ind w:left="0" w:right="34" w:firstLine="0"/>
              <w:rPr>
                <w:rFonts w:ascii="Arial" w:eastAsia="Calibri" w:hAnsi="Arial" w:cs="Arial"/>
                <w:b/>
                <w:color w:val="404040"/>
              </w:rPr>
            </w:pPr>
          </w:p>
        </w:tc>
        <w:tc>
          <w:tcPr>
            <w:tcW w:w="1479" w:type="dxa"/>
          </w:tcPr>
          <w:p w14:paraId="283E63E3" w14:textId="77777777" w:rsidR="00A74775" w:rsidRPr="00B16609" w:rsidRDefault="00A74775" w:rsidP="00A74775">
            <w:pPr>
              <w:spacing w:after="63"/>
              <w:ind w:left="0" w:right="34" w:firstLine="0"/>
              <w:rPr>
                <w:rFonts w:ascii="Arial" w:eastAsia="Calibri" w:hAnsi="Arial" w:cs="Arial"/>
                <w:color w:val="404040"/>
              </w:rPr>
            </w:pPr>
          </w:p>
        </w:tc>
        <w:tc>
          <w:tcPr>
            <w:tcW w:w="1479" w:type="dxa"/>
          </w:tcPr>
          <w:p w14:paraId="7C8AD1A1" w14:textId="761CACF8"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Ixil</w:t>
            </w:r>
          </w:p>
        </w:tc>
        <w:tc>
          <w:tcPr>
            <w:tcW w:w="1480" w:type="dxa"/>
          </w:tcPr>
          <w:p w14:paraId="74990958" w14:textId="452495E3"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4,186</w:t>
            </w:r>
          </w:p>
        </w:tc>
        <w:tc>
          <w:tcPr>
            <w:tcW w:w="1480" w:type="dxa"/>
          </w:tcPr>
          <w:p w14:paraId="2E08588D" w14:textId="4958BA24"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Sanahcat</w:t>
            </w:r>
          </w:p>
        </w:tc>
        <w:tc>
          <w:tcPr>
            <w:tcW w:w="1480" w:type="dxa"/>
          </w:tcPr>
          <w:p w14:paraId="1139DC23" w14:textId="6BE9D376"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1,701</w:t>
            </w:r>
          </w:p>
        </w:tc>
      </w:tr>
      <w:tr w:rsidR="00A74775" w:rsidRPr="00B16609" w14:paraId="58706A6D" w14:textId="77777777" w:rsidTr="003B2A47">
        <w:tc>
          <w:tcPr>
            <w:tcW w:w="1479" w:type="dxa"/>
          </w:tcPr>
          <w:p w14:paraId="491E8DA0" w14:textId="77777777" w:rsidR="00A74775" w:rsidRPr="00B16609" w:rsidRDefault="00A74775" w:rsidP="00A74775">
            <w:pPr>
              <w:spacing w:after="63"/>
              <w:ind w:left="0" w:right="34" w:firstLine="0"/>
              <w:rPr>
                <w:rFonts w:ascii="Arial" w:eastAsia="Calibri" w:hAnsi="Arial" w:cs="Arial"/>
                <w:b/>
                <w:color w:val="404040"/>
              </w:rPr>
            </w:pPr>
          </w:p>
        </w:tc>
        <w:tc>
          <w:tcPr>
            <w:tcW w:w="1479" w:type="dxa"/>
          </w:tcPr>
          <w:p w14:paraId="342C1D13" w14:textId="77777777" w:rsidR="00A74775" w:rsidRPr="00B16609" w:rsidRDefault="00A74775" w:rsidP="00A74775">
            <w:pPr>
              <w:spacing w:after="63"/>
              <w:ind w:left="0" w:right="34" w:firstLine="0"/>
              <w:rPr>
                <w:rFonts w:ascii="Arial" w:eastAsia="Calibri" w:hAnsi="Arial" w:cs="Arial"/>
                <w:color w:val="404040"/>
              </w:rPr>
            </w:pPr>
          </w:p>
        </w:tc>
        <w:tc>
          <w:tcPr>
            <w:tcW w:w="1479" w:type="dxa"/>
          </w:tcPr>
          <w:p w14:paraId="1B64359A" w14:textId="617B8751"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 xml:space="preserve"> </w:t>
            </w:r>
          </w:p>
        </w:tc>
        <w:tc>
          <w:tcPr>
            <w:tcW w:w="1480" w:type="dxa"/>
          </w:tcPr>
          <w:p w14:paraId="6E69044C" w14:textId="23BEEC8F" w:rsidR="00A74775" w:rsidRPr="00B16609" w:rsidRDefault="00A74775" w:rsidP="00A74775">
            <w:pPr>
              <w:spacing w:after="63"/>
              <w:ind w:left="0" w:right="34" w:firstLine="0"/>
              <w:rPr>
                <w:rFonts w:ascii="Arial" w:hAnsi="Arial" w:cs="Arial"/>
              </w:rPr>
            </w:pPr>
            <w:r w:rsidRPr="00B16609">
              <w:rPr>
                <w:rFonts w:ascii="Arial" w:eastAsia="Calibri" w:hAnsi="Arial" w:cs="Arial"/>
                <w:b/>
                <w:color w:val="404040"/>
              </w:rPr>
              <w:t xml:space="preserve"> </w:t>
            </w:r>
          </w:p>
        </w:tc>
        <w:tc>
          <w:tcPr>
            <w:tcW w:w="1480" w:type="dxa"/>
          </w:tcPr>
          <w:p w14:paraId="4DD6D005" w14:textId="09C21533"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Quintana Roo</w:t>
            </w:r>
          </w:p>
        </w:tc>
        <w:tc>
          <w:tcPr>
            <w:tcW w:w="1480" w:type="dxa"/>
          </w:tcPr>
          <w:p w14:paraId="44F725C2" w14:textId="75B400A5" w:rsidR="00A74775" w:rsidRPr="00B16609" w:rsidRDefault="00A74775" w:rsidP="00A74775">
            <w:pPr>
              <w:spacing w:after="63"/>
              <w:ind w:left="0" w:right="34" w:firstLine="0"/>
              <w:rPr>
                <w:rFonts w:ascii="Arial" w:hAnsi="Arial" w:cs="Arial"/>
              </w:rPr>
            </w:pPr>
            <w:r w:rsidRPr="00B16609">
              <w:rPr>
                <w:rFonts w:ascii="Arial" w:eastAsia="Calibri" w:hAnsi="Arial" w:cs="Arial"/>
                <w:color w:val="404040"/>
              </w:rPr>
              <w:t>976</w:t>
            </w:r>
          </w:p>
        </w:tc>
      </w:tr>
    </w:tbl>
    <w:p w14:paraId="0BAAC514" w14:textId="77777777" w:rsidR="000D04B5" w:rsidRPr="00B16609" w:rsidRDefault="00D039BE" w:rsidP="002D3A43">
      <w:pPr>
        <w:spacing w:after="0" w:line="259" w:lineRule="auto"/>
        <w:ind w:left="0" w:right="1126" w:firstLine="0"/>
        <w:rPr>
          <w:rFonts w:ascii="Arial" w:hAnsi="Arial" w:cs="Arial"/>
        </w:rPr>
      </w:pPr>
      <w:r w:rsidRPr="00B16609">
        <w:rPr>
          <w:rFonts w:ascii="Arial" w:hAnsi="Arial" w:cs="Arial"/>
        </w:rPr>
        <w:t xml:space="preserve"> </w:t>
      </w:r>
    </w:p>
    <w:p w14:paraId="315753DA" w14:textId="77777777" w:rsidR="000D04B5" w:rsidRPr="00B16609" w:rsidRDefault="00D039BE">
      <w:pPr>
        <w:ind w:left="-8" w:right="34"/>
        <w:rPr>
          <w:rFonts w:ascii="Arial" w:hAnsi="Arial" w:cs="Arial"/>
        </w:rPr>
      </w:pPr>
      <w:r w:rsidRPr="00B16609">
        <w:rPr>
          <w:rFonts w:ascii="Arial" w:hAnsi="Arial" w:cs="Arial"/>
        </w:rPr>
        <w:t xml:space="preserve">En tanto, lo dispuesto en los artículos 56 fracción XI Bis y 71 Ter fracciones X y XI con relación al registro de asesores municipales será obligatorio para los Ayuntamientos y los prestadores de servicio a partir de 2026, al igual que lo relativo a las Gacetas Municipales, contenido en el artículo 79. </w:t>
      </w:r>
    </w:p>
    <w:p w14:paraId="7E38A5E3"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5E40F18B" w14:textId="77777777" w:rsidR="000D04B5" w:rsidRPr="00B16609" w:rsidRDefault="00D039BE">
      <w:pPr>
        <w:ind w:left="-8" w:right="34"/>
        <w:rPr>
          <w:rFonts w:ascii="Arial" w:hAnsi="Arial" w:cs="Arial"/>
        </w:rPr>
      </w:pPr>
      <w:r w:rsidRPr="00B16609">
        <w:rPr>
          <w:rFonts w:ascii="Arial" w:hAnsi="Arial" w:cs="Arial"/>
        </w:rPr>
        <w:t xml:space="preserve">La propuesta se fundamenta en los artículos 115 y 134 de la Constitución Política de los Estados Unidos Mexicanos, los cuales establecen las bases del régimen municipal libre y autónomo, así como los principios que deben regir a la administración pública, como la eficiencia, eficacia, honradez y profesionalismo. Asimismo, encuentra sustento en los artículos 30, 78 y 136 de la Constitución Política del Estado de Yucatán, que delinean la estructura, requisitos y funcionamiento de los Ayuntamientos, y facultan al Congreso del Estado para aprobar la legislación que permita el fortalecimiento de la función pública municipal. </w:t>
      </w:r>
    </w:p>
    <w:p w14:paraId="7C7F59E7"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3CA8EF26" w14:textId="77777777" w:rsidR="000D04B5" w:rsidRPr="00B16609" w:rsidRDefault="00D039BE">
      <w:pPr>
        <w:ind w:left="-8" w:right="34"/>
        <w:rPr>
          <w:rFonts w:ascii="Arial" w:hAnsi="Arial" w:cs="Arial"/>
        </w:rPr>
      </w:pPr>
      <w:r w:rsidRPr="00B16609">
        <w:rPr>
          <w:rFonts w:ascii="Arial" w:hAnsi="Arial" w:cs="Arial"/>
        </w:rPr>
        <w:t xml:space="preserve">Por tanto, someto a consideración de este Honorable Pleno del Congreso del Estado para su revisión, análisis y, en su caso, aprobación la siguiente: </w:t>
      </w:r>
    </w:p>
    <w:p w14:paraId="37EB64CA"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b/>
        </w:rPr>
        <w:t xml:space="preserve"> </w:t>
      </w:r>
    </w:p>
    <w:tbl>
      <w:tblPr>
        <w:tblStyle w:val="TableGrid"/>
        <w:tblW w:w="8837" w:type="dxa"/>
        <w:tblInd w:w="0" w:type="dxa"/>
        <w:tblLook w:val="04A0" w:firstRow="1" w:lastRow="0" w:firstColumn="1" w:lastColumn="0" w:noHBand="0" w:noVBand="1"/>
      </w:tblPr>
      <w:tblGrid>
        <w:gridCol w:w="8837"/>
      </w:tblGrid>
      <w:tr w:rsidR="000D04B5" w:rsidRPr="00B16609" w14:paraId="2B2A9876" w14:textId="77777777" w:rsidTr="002D3A43">
        <w:trPr>
          <w:trHeight w:val="586"/>
        </w:trPr>
        <w:tc>
          <w:tcPr>
            <w:tcW w:w="8837" w:type="dxa"/>
          </w:tcPr>
          <w:p w14:paraId="5C866702" w14:textId="18F99A58" w:rsidR="000D04B5" w:rsidRPr="00B16609" w:rsidRDefault="00D039BE">
            <w:pPr>
              <w:spacing w:after="0" w:line="259" w:lineRule="auto"/>
              <w:ind w:left="0" w:right="-1" w:firstLine="0"/>
              <w:rPr>
                <w:rFonts w:ascii="Arial" w:hAnsi="Arial" w:cs="Arial"/>
              </w:rPr>
            </w:pPr>
            <w:r w:rsidRPr="00B16609">
              <w:rPr>
                <w:rFonts w:ascii="Arial" w:hAnsi="Arial" w:cs="Arial"/>
                <w:b/>
              </w:rPr>
              <w:t xml:space="preserve">INICIATIVA QUE REFORMA LA LEY DE GOBIERNO DE LOS MUNICIPIOS DEL ESTADO DE YUCATÁN Y LA LEY DE GOBIERNO DEL PODER LEGISLATIVO DEL ESTADO DE </w:t>
            </w:r>
            <w:r w:rsidR="00E96734" w:rsidRPr="00B16609">
              <w:rPr>
                <w:rFonts w:ascii="Arial" w:hAnsi="Arial" w:cs="Arial"/>
                <w:b/>
              </w:rPr>
              <w:t>YUCATÁN, EN MATERIA DE FORTALECIMIENTO INSTITUCIONAL:</w:t>
            </w:r>
          </w:p>
        </w:tc>
      </w:tr>
    </w:tbl>
    <w:p w14:paraId="7313E306"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b/>
        </w:rPr>
        <w:t xml:space="preserve"> </w:t>
      </w:r>
    </w:p>
    <w:p w14:paraId="5CF93FA2" w14:textId="29D171D8" w:rsidR="000D04B5" w:rsidRPr="00B16609" w:rsidRDefault="00755CC1">
      <w:pPr>
        <w:ind w:left="-8" w:right="34"/>
        <w:rPr>
          <w:rFonts w:ascii="Arial" w:hAnsi="Arial" w:cs="Arial"/>
        </w:rPr>
      </w:pPr>
      <w:r w:rsidRPr="00B16609">
        <w:rPr>
          <w:rFonts w:ascii="Arial" w:hAnsi="Arial" w:cs="Arial"/>
          <w:b/>
        </w:rPr>
        <w:t>ARTÍCULO PRIMERO.-</w:t>
      </w:r>
      <w:r w:rsidRPr="00B16609">
        <w:rPr>
          <w:rFonts w:ascii="Arial" w:hAnsi="Arial" w:cs="Arial"/>
        </w:rPr>
        <w:t xml:space="preserve"> </w:t>
      </w:r>
      <w:r w:rsidR="00D039BE" w:rsidRPr="00B16609">
        <w:rPr>
          <w:rFonts w:ascii="Arial" w:hAnsi="Arial" w:cs="Arial"/>
        </w:rPr>
        <w:t xml:space="preserve">Se reforman los artículos 25, 25 </w:t>
      </w:r>
      <w:r w:rsidR="00F422EC" w:rsidRPr="00B16609">
        <w:rPr>
          <w:rFonts w:ascii="Arial" w:hAnsi="Arial" w:cs="Arial"/>
        </w:rPr>
        <w:t xml:space="preserve">Bis primer párrafo, 29, se adiciona un artículo 29 Z-28; </w:t>
      </w:r>
      <w:r w:rsidR="0043731B" w:rsidRPr="00B16609">
        <w:rPr>
          <w:rFonts w:ascii="Arial" w:hAnsi="Arial" w:cs="Arial"/>
        </w:rPr>
        <w:t xml:space="preserve">se reforma </w:t>
      </w:r>
      <w:r w:rsidR="00F422EC" w:rsidRPr="00B16609">
        <w:rPr>
          <w:rFonts w:ascii="Arial" w:hAnsi="Arial" w:cs="Arial"/>
        </w:rPr>
        <w:t>el artículo</w:t>
      </w:r>
      <w:r w:rsidR="0043731B" w:rsidRPr="00B16609">
        <w:rPr>
          <w:rFonts w:ascii="Arial" w:hAnsi="Arial" w:cs="Arial"/>
        </w:rPr>
        <w:t xml:space="preserve"> 41 para agregar un inciso F;</w:t>
      </w:r>
      <w:r w:rsidR="00D039BE" w:rsidRPr="00B16609">
        <w:rPr>
          <w:rFonts w:ascii="Arial" w:hAnsi="Arial" w:cs="Arial"/>
        </w:rPr>
        <w:t xml:space="preserve"> 55 fracción V, 56 para a</w:t>
      </w:r>
      <w:r w:rsidR="00F422EC" w:rsidRPr="00B16609">
        <w:rPr>
          <w:rFonts w:ascii="Arial" w:hAnsi="Arial" w:cs="Arial"/>
        </w:rPr>
        <w:t>dicionar</w:t>
      </w:r>
      <w:r w:rsidR="00D039BE" w:rsidRPr="00B16609">
        <w:rPr>
          <w:rFonts w:ascii="Arial" w:hAnsi="Arial" w:cs="Arial"/>
        </w:rPr>
        <w:t xml:space="preserve"> la fracción IX Bis, 58, 71 Ter para a</w:t>
      </w:r>
      <w:r w:rsidR="00F422EC" w:rsidRPr="00B16609">
        <w:rPr>
          <w:rFonts w:ascii="Arial" w:hAnsi="Arial" w:cs="Arial"/>
        </w:rPr>
        <w:t>gregarle las fracciones X y XI;</w:t>
      </w:r>
      <w:r w:rsidR="00D039BE" w:rsidRPr="00B16609">
        <w:rPr>
          <w:rFonts w:ascii="Arial" w:hAnsi="Arial" w:cs="Arial"/>
        </w:rPr>
        <w:t xml:space="preserve"> 79 primer párrafo y para a</w:t>
      </w:r>
      <w:r w:rsidR="00F422EC" w:rsidRPr="00B16609">
        <w:rPr>
          <w:rFonts w:ascii="Arial" w:hAnsi="Arial" w:cs="Arial"/>
        </w:rPr>
        <w:t>dicionar</w:t>
      </w:r>
      <w:r w:rsidR="00D039BE" w:rsidRPr="00B16609">
        <w:rPr>
          <w:rFonts w:ascii="Arial" w:hAnsi="Arial" w:cs="Arial"/>
        </w:rPr>
        <w:t xml:space="preserve"> un segundo </w:t>
      </w:r>
      <w:r w:rsidR="00F422EC" w:rsidRPr="00B16609">
        <w:rPr>
          <w:rFonts w:ascii="Arial" w:hAnsi="Arial" w:cs="Arial"/>
        </w:rPr>
        <w:t>último párrafo y 86 primer párrafo</w:t>
      </w:r>
      <w:r w:rsidR="00D039BE" w:rsidRPr="00B16609">
        <w:rPr>
          <w:rFonts w:ascii="Arial" w:hAnsi="Arial" w:cs="Arial"/>
        </w:rPr>
        <w:t xml:space="preserve">; además se adicionan los artículos 136 Bis, 136 Ter, 136 Quáter y 136 Quinquies de la Ley de Gobierno de los Municipios del Estado de Yucatán, para quedar como siguen: </w:t>
      </w:r>
    </w:p>
    <w:p w14:paraId="610B1D9D"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027C023B" w14:textId="77777777" w:rsidR="000D04B5" w:rsidRPr="00B16609" w:rsidRDefault="00D039BE">
      <w:pPr>
        <w:ind w:left="-8" w:right="34"/>
        <w:rPr>
          <w:rFonts w:ascii="Arial" w:hAnsi="Arial" w:cs="Arial"/>
        </w:rPr>
      </w:pPr>
      <w:r w:rsidRPr="00B16609">
        <w:rPr>
          <w:rFonts w:ascii="Arial" w:hAnsi="Arial" w:cs="Arial"/>
          <w:b/>
        </w:rPr>
        <w:t>Artículo 25.-</w:t>
      </w:r>
      <w:r w:rsidRPr="00B16609">
        <w:rPr>
          <w:rFonts w:ascii="Arial" w:hAnsi="Arial" w:cs="Arial"/>
        </w:rPr>
        <w:t xml:space="preserve"> Los Ayuntamientos del Estado salientes celebrarán una Sesión Ordinaria en la cual el Cabildo aprobará la conformación de la Comisión de Transición, que se encargará de los trabajos de instalación del Ayuntamiento entrante y del proceso de Entrega-Recepción, conforme a lo dispuesto en la Sección Quinta del presente Capítulo de esta Ley. </w:t>
      </w:r>
    </w:p>
    <w:p w14:paraId="6A6E3E03"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224DFC38" w14:textId="77777777" w:rsidR="000D04B5" w:rsidRPr="00B16609" w:rsidRDefault="00D039BE">
      <w:pPr>
        <w:ind w:left="-8" w:right="34"/>
        <w:rPr>
          <w:rFonts w:ascii="Arial" w:hAnsi="Arial" w:cs="Arial"/>
        </w:rPr>
      </w:pPr>
      <w:r w:rsidRPr="00B16609">
        <w:rPr>
          <w:rFonts w:ascii="Arial" w:hAnsi="Arial" w:cs="Arial"/>
          <w:b/>
        </w:rPr>
        <w:t>Artículo 25 Bis.-</w:t>
      </w:r>
      <w:r w:rsidRPr="00B16609">
        <w:rPr>
          <w:rFonts w:ascii="Arial" w:hAnsi="Arial" w:cs="Arial"/>
        </w:rPr>
        <w:t xml:space="preserve"> La Comisión de Transición deberá: </w:t>
      </w:r>
    </w:p>
    <w:p w14:paraId="24D1B5E1"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1C3B41CC" w14:textId="77777777" w:rsidR="000D04B5" w:rsidRPr="00B16609" w:rsidRDefault="00D039BE">
      <w:pPr>
        <w:numPr>
          <w:ilvl w:val="0"/>
          <w:numId w:val="2"/>
        </w:numPr>
        <w:spacing w:after="191"/>
        <w:ind w:left="783" w:right="34" w:hanging="616"/>
        <w:rPr>
          <w:rFonts w:ascii="Arial" w:hAnsi="Arial" w:cs="Arial"/>
        </w:rPr>
      </w:pPr>
      <w:r w:rsidRPr="00B16609">
        <w:rPr>
          <w:rFonts w:ascii="Arial" w:hAnsi="Arial" w:cs="Arial"/>
        </w:rPr>
        <w:t xml:space="preserve">… </w:t>
      </w:r>
    </w:p>
    <w:p w14:paraId="2857E669" w14:textId="77777777" w:rsidR="000D04B5" w:rsidRPr="00B16609" w:rsidRDefault="00D039BE">
      <w:pPr>
        <w:numPr>
          <w:ilvl w:val="0"/>
          <w:numId w:val="2"/>
        </w:numPr>
        <w:spacing w:after="191"/>
        <w:ind w:left="783" w:right="34" w:hanging="616"/>
        <w:rPr>
          <w:rFonts w:ascii="Arial" w:hAnsi="Arial" w:cs="Arial"/>
        </w:rPr>
      </w:pPr>
      <w:r w:rsidRPr="00B16609">
        <w:rPr>
          <w:rFonts w:ascii="Arial" w:hAnsi="Arial" w:cs="Arial"/>
        </w:rPr>
        <w:t xml:space="preserve">… </w:t>
      </w:r>
    </w:p>
    <w:p w14:paraId="4F2EFF91" w14:textId="77777777" w:rsidR="000D04B5" w:rsidRPr="00B16609" w:rsidRDefault="00D039BE">
      <w:pPr>
        <w:numPr>
          <w:ilvl w:val="0"/>
          <w:numId w:val="2"/>
        </w:numPr>
        <w:ind w:left="783" w:right="34" w:hanging="616"/>
        <w:rPr>
          <w:rFonts w:ascii="Arial" w:hAnsi="Arial" w:cs="Arial"/>
        </w:rPr>
      </w:pPr>
      <w:r w:rsidRPr="00B16609">
        <w:rPr>
          <w:rFonts w:ascii="Arial" w:hAnsi="Arial" w:cs="Arial"/>
        </w:rPr>
        <w:t xml:space="preserve">… </w:t>
      </w:r>
    </w:p>
    <w:p w14:paraId="590F4B12" w14:textId="77777777" w:rsidR="000D04B5" w:rsidRPr="00B16609" w:rsidRDefault="00D039BE">
      <w:pPr>
        <w:ind w:left="-8" w:right="34"/>
        <w:rPr>
          <w:rFonts w:ascii="Arial" w:hAnsi="Arial" w:cs="Arial"/>
        </w:rPr>
      </w:pPr>
      <w:r w:rsidRPr="00B16609">
        <w:rPr>
          <w:rFonts w:ascii="Arial" w:hAnsi="Arial" w:cs="Arial"/>
        </w:rPr>
        <w:t xml:space="preserve">… </w:t>
      </w:r>
    </w:p>
    <w:p w14:paraId="3ABFD2DF"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6C098CFA" w14:textId="77777777" w:rsidR="000D04B5" w:rsidRPr="00B16609" w:rsidRDefault="00D039BE">
      <w:pPr>
        <w:ind w:left="-8" w:right="34"/>
        <w:rPr>
          <w:rFonts w:ascii="Arial" w:hAnsi="Arial" w:cs="Arial"/>
        </w:rPr>
      </w:pPr>
      <w:r w:rsidRPr="00B16609">
        <w:rPr>
          <w:rFonts w:ascii="Arial" w:hAnsi="Arial" w:cs="Arial"/>
          <w:b/>
        </w:rPr>
        <w:t xml:space="preserve">Artículo 29.- </w:t>
      </w:r>
      <w:r w:rsidRPr="00B16609">
        <w:rPr>
          <w:rFonts w:ascii="Arial" w:hAnsi="Arial" w:cs="Arial"/>
        </w:rPr>
        <w:t xml:space="preserve">Para todo lo no previsto en la presente Ley que se refiera al desarrollo y ejecución de los actos y procesos de Entrega-Recepción se aplicará de manera supletoria la Ley de Actos y Procedimientos Administrativos del Estado de Yucatán, la Ley de Archivos del Estado de Yucatán, Ley de Transparencia y Acceso a la Información Pública del Estado de Yucatán, la Ley del Presupuesto y Contabilidad Gubernamental del Estado de Yucatán, la Ley de Responsabilidades Administrativas del Estado de Yucatán, y demás normatividad jurídica aplicable en los asuntos materia de los actos de Entrega-Recepción. </w:t>
      </w:r>
    </w:p>
    <w:p w14:paraId="4572361A"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35705C56" w14:textId="6309424F" w:rsidR="000D04B5" w:rsidRPr="00B16609" w:rsidRDefault="000D04B5">
      <w:pPr>
        <w:spacing w:after="0" w:line="259" w:lineRule="auto"/>
        <w:ind w:left="0" w:right="0" w:firstLine="0"/>
        <w:jc w:val="left"/>
        <w:rPr>
          <w:rFonts w:ascii="Arial" w:hAnsi="Arial" w:cs="Arial"/>
        </w:rPr>
      </w:pPr>
    </w:p>
    <w:p w14:paraId="329328A2" w14:textId="77777777" w:rsidR="000D04B5" w:rsidRPr="00B16609" w:rsidRDefault="00D039BE">
      <w:pPr>
        <w:ind w:left="-8" w:right="34"/>
        <w:rPr>
          <w:rFonts w:ascii="Arial" w:hAnsi="Arial" w:cs="Arial"/>
        </w:rPr>
      </w:pPr>
      <w:r w:rsidRPr="00B16609">
        <w:rPr>
          <w:rFonts w:ascii="Arial" w:hAnsi="Arial" w:cs="Arial"/>
          <w:b/>
        </w:rPr>
        <w:t>Artículo 29 Z-28.-</w:t>
      </w:r>
      <w:r w:rsidRPr="00B16609">
        <w:rPr>
          <w:rFonts w:ascii="Arial" w:hAnsi="Arial" w:cs="Arial"/>
        </w:rPr>
        <w:t xml:space="preserve"> Los últimos titulares en la administración saliente de la Sindicatura, Secretaría Municipal, Tesorería Municipal, de las oficinas, dependencias y entidades, a quienes se les haya requerido la resolución de dudas o aclaraciones de la información de Entrega–Recepción de conformidad con los artículos 29 Z-25 y 29 Z-27, dispondrán de un plazo máximo de 15 días hábiles para dar respuesta. </w:t>
      </w:r>
    </w:p>
    <w:p w14:paraId="528A9D13"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2AB8D405" w14:textId="77777777" w:rsidR="000D04B5" w:rsidRPr="00B16609" w:rsidRDefault="00D039BE">
      <w:pPr>
        <w:ind w:left="-8" w:right="34"/>
        <w:rPr>
          <w:rFonts w:ascii="Arial" w:hAnsi="Arial" w:cs="Arial"/>
        </w:rPr>
      </w:pPr>
      <w:r w:rsidRPr="00B16609">
        <w:rPr>
          <w:rFonts w:ascii="Arial" w:hAnsi="Arial" w:cs="Arial"/>
        </w:rPr>
        <w:t xml:space="preserve">El incumplimiento a lo previsto en el párrafo anterior será motivo de responsabilidad administrativa de los funcionarios salientes, y el Órgano de Control Interno deberá de proceder en consecuencia. </w:t>
      </w:r>
    </w:p>
    <w:p w14:paraId="0FAA8FCC"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1D5B3FA1" w14:textId="77777777" w:rsidR="000D04B5" w:rsidRPr="00B16609" w:rsidRDefault="00D039BE">
      <w:pPr>
        <w:ind w:left="-8" w:right="34"/>
        <w:rPr>
          <w:rFonts w:ascii="Arial" w:hAnsi="Arial" w:cs="Arial"/>
        </w:rPr>
      </w:pPr>
      <w:r w:rsidRPr="00B16609">
        <w:rPr>
          <w:rFonts w:ascii="Arial" w:hAnsi="Arial" w:cs="Arial"/>
          <w:b/>
        </w:rPr>
        <w:t>Artículo 41.-</w:t>
      </w:r>
      <w:r w:rsidRPr="00B16609">
        <w:rPr>
          <w:rFonts w:ascii="Arial" w:hAnsi="Arial" w:cs="Arial"/>
        </w:rPr>
        <w:t xml:space="preserve"> El Ayuntamiento tiene las atribuciones siguientes, las cuales serán ejercidas por el Cabildo: </w:t>
      </w:r>
    </w:p>
    <w:p w14:paraId="50A4D802"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5EFF9A5E" w14:textId="77777777" w:rsidR="000D04B5" w:rsidRPr="00B16609" w:rsidRDefault="00D039BE">
      <w:pPr>
        <w:numPr>
          <w:ilvl w:val="0"/>
          <w:numId w:val="4"/>
        </w:numPr>
        <w:spacing w:after="188"/>
        <w:ind w:right="0" w:hanging="360"/>
        <w:jc w:val="left"/>
        <w:rPr>
          <w:rFonts w:ascii="Arial" w:hAnsi="Arial" w:cs="Arial"/>
        </w:rPr>
      </w:pPr>
      <w:r w:rsidRPr="00B16609">
        <w:rPr>
          <w:rFonts w:ascii="Arial" w:hAnsi="Arial" w:cs="Arial"/>
          <w:b/>
        </w:rPr>
        <w:t xml:space="preserve">De Gobierno: </w:t>
      </w:r>
      <w:r w:rsidRPr="00B16609">
        <w:rPr>
          <w:rFonts w:ascii="Arial" w:hAnsi="Arial" w:cs="Arial"/>
        </w:rPr>
        <w:t>…</w:t>
      </w:r>
      <w:r w:rsidRPr="00B16609">
        <w:rPr>
          <w:rFonts w:ascii="Arial" w:hAnsi="Arial" w:cs="Arial"/>
          <w:b/>
        </w:rPr>
        <w:t xml:space="preserve"> </w:t>
      </w:r>
    </w:p>
    <w:p w14:paraId="0ED1F998" w14:textId="77777777" w:rsidR="000D04B5" w:rsidRPr="00B16609" w:rsidRDefault="00D039BE">
      <w:pPr>
        <w:numPr>
          <w:ilvl w:val="0"/>
          <w:numId w:val="4"/>
        </w:numPr>
        <w:spacing w:after="183"/>
        <w:ind w:right="0" w:hanging="360"/>
        <w:jc w:val="left"/>
        <w:rPr>
          <w:rFonts w:ascii="Arial" w:hAnsi="Arial" w:cs="Arial"/>
        </w:rPr>
      </w:pPr>
      <w:r w:rsidRPr="00B16609">
        <w:rPr>
          <w:rFonts w:ascii="Arial" w:hAnsi="Arial" w:cs="Arial"/>
          <w:b/>
        </w:rPr>
        <w:t xml:space="preserve">De Administración: </w:t>
      </w:r>
      <w:r w:rsidRPr="00B16609">
        <w:rPr>
          <w:rFonts w:ascii="Arial" w:hAnsi="Arial" w:cs="Arial"/>
        </w:rPr>
        <w:t>…</w:t>
      </w:r>
      <w:r w:rsidRPr="00B16609">
        <w:rPr>
          <w:rFonts w:ascii="Arial" w:hAnsi="Arial" w:cs="Arial"/>
          <w:b/>
        </w:rPr>
        <w:t xml:space="preserve"> </w:t>
      </w:r>
    </w:p>
    <w:p w14:paraId="2860EFD9" w14:textId="77777777" w:rsidR="000D04B5" w:rsidRPr="00B16609" w:rsidRDefault="00D039BE">
      <w:pPr>
        <w:numPr>
          <w:ilvl w:val="0"/>
          <w:numId w:val="4"/>
        </w:numPr>
        <w:spacing w:after="188"/>
        <w:ind w:right="0" w:hanging="360"/>
        <w:jc w:val="left"/>
        <w:rPr>
          <w:rFonts w:ascii="Arial" w:hAnsi="Arial" w:cs="Arial"/>
        </w:rPr>
      </w:pPr>
      <w:r w:rsidRPr="00B16609">
        <w:rPr>
          <w:rFonts w:ascii="Arial" w:hAnsi="Arial" w:cs="Arial"/>
          <w:b/>
        </w:rPr>
        <w:t xml:space="preserve">De Hacienda: </w:t>
      </w:r>
      <w:r w:rsidRPr="00B16609">
        <w:rPr>
          <w:rFonts w:ascii="Arial" w:hAnsi="Arial" w:cs="Arial"/>
        </w:rPr>
        <w:t>…</w:t>
      </w:r>
      <w:r w:rsidRPr="00B16609">
        <w:rPr>
          <w:rFonts w:ascii="Arial" w:hAnsi="Arial" w:cs="Arial"/>
          <w:b/>
        </w:rPr>
        <w:t xml:space="preserve"> </w:t>
      </w:r>
    </w:p>
    <w:p w14:paraId="29DE1114" w14:textId="77777777" w:rsidR="000D04B5" w:rsidRPr="00B16609" w:rsidRDefault="00D039BE">
      <w:pPr>
        <w:numPr>
          <w:ilvl w:val="0"/>
          <w:numId w:val="4"/>
        </w:numPr>
        <w:spacing w:after="188"/>
        <w:ind w:right="0" w:hanging="360"/>
        <w:jc w:val="left"/>
        <w:rPr>
          <w:rFonts w:ascii="Arial" w:hAnsi="Arial" w:cs="Arial"/>
        </w:rPr>
      </w:pPr>
      <w:r w:rsidRPr="00B16609">
        <w:rPr>
          <w:rFonts w:ascii="Arial" w:hAnsi="Arial" w:cs="Arial"/>
          <w:b/>
        </w:rPr>
        <w:t xml:space="preserve">De Planeación: </w:t>
      </w:r>
      <w:r w:rsidRPr="00B16609">
        <w:rPr>
          <w:rFonts w:ascii="Arial" w:hAnsi="Arial" w:cs="Arial"/>
        </w:rPr>
        <w:t>…</w:t>
      </w:r>
      <w:r w:rsidRPr="00B16609">
        <w:rPr>
          <w:rFonts w:ascii="Arial" w:hAnsi="Arial" w:cs="Arial"/>
          <w:b/>
        </w:rPr>
        <w:t xml:space="preserve"> </w:t>
      </w:r>
    </w:p>
    <w:p w14:paraId="4741FD6A" w14:textId="77777777" w:rsidR="000D04B5" w:rsidRPr="00B16609" w:rsidRDefault="00D039BE">
      <w:pPr>
        <w:numPr>
          <w:ilvl w:val="0"/>
          <w:numId w:val="4"/>
        </w:numPr>
        <w:spacing w:after="192"/>
        <w:ind w:right="0" w:hanging="360"/>
        <w:jc w:val="left"/>
        <w:rPr>
          <w:rFonts w:ascii="Arial" w:hAnsi="Arial" w:cs="Arial"/>
        </w:rPr>
      </w:pPr>
      <w:r w:rsidRPr="00B16609">
        <w:rPr>
          <w:rFonts w:ascii="Arial" w:hAnsi="Arial" w:cs="Arial"/>
          <w:b/>
        </w:rPr>
        <w:t xml:space="preserve">De igualdad entre mujeres y hombres y acceso de las mujeres a una vida libre de violencia: </w:t>
      </w:r>
      <w:r w:rsidRPr="00B16609">
        <w:rPr>
          <w:rFonts w:ascii="Arial" w:hAnsi="Arial" w:cs="Arial"/>
        </w:rPr>
        <w:t>…</w:t>
      </w:r>
      <w:r w:rsidRPr="00B16609">
        <w:rPr>
          <w:rFonts w:ascii="Arial" w:hAnsi="Arial" w:cs="Arial"/>
          <w:b/>
        </w:rPr>
        <w:t xml:space="preserve"> </w:t>
      </w:r>
    </w:p>
    <w:p w14:paraId="49A39A7B" w14:textId="77777777" w:rsidR="000D04B5" w:rsidRPr="00B16609" w:rsidRDefault="00D039BE">
      <w:pPr>
        <w:numPr>
          <w:ilvl w:val="0"/>
          <w:numId w:val="4"/>
        </w:numPr>
        <w:spacing w:after="183"/>
        <w:ind w:right="0" w:hanging="360"/>
        <w:jc w:val="left"/>
        <w:rPr>
          <w:rFonts w:ascii="Arial" w:hAnsi="Arial" w:cs="Arial"/>
        </w:rPr>
      </w:pPr>
      <w:r w:rsidRPr="00B16609">
        <w:rPr>
          <w:rFonts w:ascii="Arial" w:hAnsi="Arial" w:cs="Arial"/>
          <w:b/>
        </w:rPr>
        <w:t xml:space="preserve">En materia de profesionalización: </w:t>
      </w:r>
    </w:p>
    <w:p w14:paraId="246A4BC2" w14:textId="77777777" w:rsidR="000D04B5" w:rsidRPr="00B16609" w:rsidRDefault="00D039BE">
      <w:pPr>
        <w:numPr>
          <w:ilvl w:val="0"/>
          <w:numId w:val="5"/>
        </w:numPr>
        <w:spacing w:after="192"/>
        <w:ind w:right="34" w:hanging="360"/>
        <w:rPr>
          <w:rFonts w:ascii="Arial" w:hAnsi="Arial" w:cs="Arial"/>
        </w:rPr>
      </w:pPr>
      <w:r w:rsidRPr="00B16609">
        <w:rPr>
          <w:rFonts w:ascii="Arial" w:hAnsi="Arial" w:cs="Arial"/>
        </w:rPr>
        <w:t xml:space="preserve">Garantizar la certificación de competencias laborales de los titulares de las diversas dependencias y entidades municipales con base en el Sistema Nacional de Competencias, y </w:t>
      </w:r>
    </w:p>
    <w:p w14:paraId="1CE91A9C" w14:textId="77777777" w:rsidR="000D04B5" w:rsidRPr="00B16609" w:rsidRDefault="00D039BE">
      <w:pPr>
        <w:numPr>
          <w:ilvl w:val="0"/>
          <w:numId w:val="5"/>
        </w:numPr>
        <w:spacing w:after="192"/>
        <w:ind w:right="34" w:hanging="360"/>
        <w:rPr>
          <w:rFonts w:ascii="Arial" w:hAnsi="Arial" w:cs="Arial"/>
        </w:rPr>
      </w:pPr>
      <w:r w:rsidRPr="00B16609">
        <w:rPr>
          <w:rFonts w:ascii="Arial" w:hAnsi="Arial" w:cs="Arial"/>
        </w:rPr>
        <w:t xml:space="preserve">Desarrollar programas de capacitación, formación continua y profesionalización para las personas servidoras públicas municipales que se encuentren en funciones o deseen ingresar al gobierno municipal, con el propósito de brindar una mejor atención a la población del municipio. </w:t>
      </w:r>
    </w:p>
    <w:p w14:paraId="35AE90F0" w14:textId="77777777" w:rsidR="000D04B5" w:rsidRPr="00B16609" w:rsidRDefault="00D039BE">
      <w:pPr>
        <w:ind w:left="-8" w:right="34"/>
        <w:rPr>
          <w:rFonts w:ascii="Arial" w:hAnsi="Arial" w:cs="Arial"/>
        </w:rPr>
      </w:pPr>
      <w:r w:rsidRPr="00B16609">
        <w:rPr>
          <w:rFonts w:ascii="Arial" w:hAnsi="Arial" w:cs="Arial"/>
          <w:b/>
        </w:rPr>
        <w:t>Artículo 55.-</w:t>
      </w:r>
      <w:r w:rsidRPr="00B16609">
        <w:rPr>
          <w:rFonts w:ascii="Arial" w:hAnsi="Arial" w:cs="Arial"/>
        </w:rPr>
        <w:t xml:space="preserve"> Al Presidente Municipal, como órgano ejecutivo y político del Ayuntamiento, le corresponde: </w:t>
      </w:r>
    </w:p>
    <w:p w14:paraId="04FB1EDC"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30DB7EF7" w14:textId="77777777" w:rsidR="000D04B5" w:rsidRPr="00B16609" w:rsidRDefault="00D039BE">
      <w:pPr>
        <w:numPr>
          <w:ilvl w:val="0"/>
          <w:numId w:val="6"/>
        </w:numPr>
        <w:spacing w:after="230"/>
        <w:ind w:right="34" w:hanging="567"/>
        <w:rPr>
          <w:rFonts w:ascii="Arial" w:hAnsi="Arial" w:cs="Arial"/>
        </w:rPr>
      </w:pPr>
      <w:r w:rsidRPr="00B16609">
        <w:rPr>
          <w:rFonts w:ascii="Arial" w:hAnsi="Arial" w:cs="Arial"/>
        </w:rPr>
        <w:t xml:space="preserve">… </w:t>
      </w:r>
    </w:p>
    <w:p w14:paraId="6FA2A78A" w14:textId="77777777" w:rsidR="000D04B5" w:rsidRPr="00B16609" w:rsidRDefault="00D039BE">
      <w:pPr>
        <w:numPr>
          <w:ilvl w:val="0"/>
          <w:numId w:val="6"/>
        </w:numPr>
        <w:spacing w:after="229"/>
        <w:ind w:right="34" w:hanging="567"/>
        <w:rPr>
          <w:rFonts w:ascii="Arial" w:hAnsi="Arial" w:cs="Arial"/>
        </w:rPr>
      </w:pPr>
      <w:r w:rsidRPr="00B16609">
        <w:rPr>
          <w:rFonts w:ascii="Arial" w:hAnsi="Arial" w:cs="Arial"/>
        </w:rPr>
        <w:t xml:space="preserve">… </w:t>
      </w:r>
    </w:p>
    <w:p w14:paraId="4E0242DB" w14:textId="77777777" w:rsidR="000D04B5" w:rsidRPr="00B16609" w:rsidRDefault="00D039BE">
      <w:pPr>
        <w:numPr>
          <w:ilvl w:val="0"/>
          <w:numId w:val="6"/>
        </w:numPr>
        <w:spacing w:after="229"/>
        <w:ind w:right="34" w:hanging="567"/>
        <w:rPr>
          <w:rFonts w:ascii="Arial" w:hAnsi="Arial" w:cs="Arial"/>
        </w:rPr>
      </w:pPr>
      <w:r w:rsidRPr="00B16609">
        <w:rPr>
          <w:rFonts w:ascii="Arial" w:hAnsi="Arial" w:cs="Arial"/>
        </w:rPr>
        <w:t xml:space="preserve">… </w:t>
      </w:r>
    </w:p>
    <w:p w14:paraId="47CBB0C9" w14:textId="77777777" w:rsidR="000D04B5" w:rsidRPr="00B16609" w:rsidRDefault="00D039BE">
      <w:pPr>
        <w:numPr>
          <w:ilvl w:val="0"/>
          <w:numId w:val="6"/>
        </w:numPr>
        <w:spacing w:after="228"/>
        <w:ind w:right="34" w:hanging="567"/>
        <w:rPr>
          <w:rFonts w:ascii="Arial" w:hAnsi="Arial" w:cs="Arial"/>
        </w:rPr>
      </w:pPr>
      <w:r w:rsidRPr="00B16609">
        <w:rPr>
          <w:rFonts w:ascii="Arial" w:hAnsi="Arial" w:cs="Arial"/>
        </w:rPr>
        <w:t xml:space="preserve">… </w:t>
      </w:r>
    </w:p>
    <w:p w14:paraId="6C49F811" w14:textId="77777777" w:rsidR="000D04B5" w:rsidRPr="00B16609" w:rsidRDefault="00D039BE">
      <w:pPr>
        <w:numPr>
          <w:ilvl w:val="0"/>
          <w:numId w:val="6"/>
        </w:numPr>
        <w:spacing w:after="231"/>
        <w:ind w:right="34" w:hanging="567"/>
        <w:rPr>
          <w:rFonts w:ascii="Arial" w:hAnsi="Arial" w:cs="Arial"/>
        </w:rPr>
      </w:pPr>
      <w:r w:rsidRPr="00B16609">
        <w:rPr>
          <w:rFonts w:ascii="Arial" w:hAnsi="Arial" w:cs="Arial"/>
        </w:rPr>
        <w:t xml:space="preserve">Nombrar y remover al personal administrativo del Ayuntamiento, cuando así se requiera, debiendo informar al Cabildo en la sesión inmediata. En caso de un gobierno de coalición se sujetará a lo previsto en el convenio respectivo. </w:t>
      </w:r>
    </w:p>
    <w:p w14:paraId="6CBE9757" w14:textId="77777777" w:rsidR="000D04B5" w:rsidRPr="00B16609" w:rsidRDefault="00D039BE">
      <w:pPr>
        <w:numPr>
          <w:ilvl w:val="0"/>
          <w:numId w:val="6"/>
        </w:numPr>
        <w:spacing w:after="229"/>
        <w:ind w:right="34" w:hanging="567"/>
        <w:rPr>
          <w:rFonts w:ascii="Arial" w:hAnsi="Arial" w:cs="Arial"/>
        </w:rPr>
      </w:pPr>
      <w:r w:rsidRPr="00B16609">
        <w:rPr>
          <w:rFonts w:ascii="Arial" w:hAnsi="Arial" w:cs="Arial"/>
        </w:rPr>
        <w:t xml:space="preserve">… </w:t>
      </w:r>
    </w:p>
    <w:p w14:paraId="66C0C57C" w14:textId="77777777" w:rsidR="000D04B5" w:rsidRPr="00B16609" w:rsidRDefault="00D039BE">
      <w:pPr>
        <w:numPr>
          <w:ilvl w:val="0"/>
          <w:numId w:val="6"/>
        </w:numPr>
        <w:spacing w:after="229"/>
        <w:ind w:right="34" w:hanging="567"/>
        <w:rPr>
          <w:rFonts w:ascii="Arial" w:hAnsi="Arial" w:cs="Arial"/>
        </w:rPr>
      </w:pPr>
      <w:r w:rsidRPr="00B16609">
        <w:rPr>
          <w:rFonts w:ascii="Arial" w:hAnsi="Arial" w:cs="Arial"/>
        </w:rPr>
        <w:t xml:space="preserve">… </w:t>
      </w:r>
    </w:p>
    <w:p w14:paraId="0C652102" w14:textId="77777777" w:rsidR="000D04B5" w:rsidRPr="00B16609" w:rsidRDefault="00D039BE">
      <w:pPr>
        <w:numPr>
          <w:ilvl w:val="0"/>
          <w:numId w:val="6"/>
        </w:numPr>
        <w:spacing w:after="229"/>
        <w:ind w:right="34" w:hanging="567"/>
        <w:rPr>
          <w:rFonts w:ascii="Arial" w:hAnsi="Arial" w:cs="Arial"/>
        </w:rPr>
      </w:pPr>
      <w:r w:rsidRPr="00B16609">
        <w:rPr>
          <w:rFonts w:ascii="Arial" w:hAnsi="Arial" w:cs="Arial"/>
        </w:rPr>
        <w:t xml:space="preserve">… </w:t>
      </w:r>
    </w:p>
    <w:p w14:paraId="1EAFFFFA" w14:textId="77777777" w:rsidR="000D04B5" w:rsidRPr="00B16609" w:rsidRDefault="00D039BE">
      <w:pPr>
        <w:numPr>
          <w:ilvl w:val="0"/>
          <w:numId w:val="6"/>
        </w:numPr>
        <w:spacing w:after="229"/>
        <w:ind w:right="34" w:hanging="567"/>
        <w:rPr>
          <w:rFonts w:ascii="Arial" w:hAnsi="Arial" w:cs="Arial"/>
        </w:rPr>
      </w:pPr>
      <w:r w:rsidRPr="00B16609">
        <w:rPr>
          <w:rFonts w:ascii="Arial" w:hAnsi="Arial" w:cs="Arial"/>
        </w:rPr>
        <w:t xml:space="preserve">… </w:t>
      </w:r>
    </w:p>
    <w:p w14:paraId="60FBE0C7" w14:textId="77777777" w:rsidR="000D04B5" w:rsidRPr="00B16609" w:rsidRDefault="00D039BE">
      <w:pPr>
        <w:numPr>
          <w:ilvl w:val="0"/>
          <w:numId w:val="6"/>
        </w:numPr>
        <w:spacing w:after="229"/>
        <w:ind w:right="34" w:hanging="567"/>
        <w:rPr>
          <w:rFonts w:ascii="Arial" w:hAnsi="Arial" w:cs="Arial"/>
        </w:rPr>
      </w:pPr>
      <w:r w:rsidRPr="00B16609">
        <w:rPr>
          <w:rFonts w:ascii="Arial" w:hAnsi="Arial" w:cs="Arial"/>
        </w:rPr>
        <w:t xml:space="preserve">… </w:t>
      </w:r>
    </w:p>
    <w:p w14:paraId="39EB0CA8" w14:textId="77777777" w:rsidR="000D04B5" w:rsidRPr="00B16609" w:rsidRDefault="00D039BE">
      <w:pPr>
        <w:numPr>
          <w:ilvl w:val="0"/>
          <w:numId w:val="6"/>
        </w:numPr>
        <w:spacing w:after="229"/>
        <w:ind w:right="34" w:hanging="567"/>
        <w:rPr>
          <w:rFonts w:ascii="Arial" w:hAnsi="Arial" w:cs="Arial"/>
        </w:rPr>
      </w:pPr>
      <w:r w:rsidRPr="00B16609">
        <w:rPr>
          <w:rFonts w:ascii="Arial" w:hAnsi="Arial" w:cs="Arial"/>
        </w:rPr>
        <w:t xml:space="preserve">… </w:t>
      </w:r>
    </w:p>
    <w:p w14:paraId="0951651F" w14:textId="77777777" w:rsidR="000D04B5" w:rsidRPr="00B16609" w:rsidRDefault="00D039BE">
      <w:pPr>
        <w:numPr>
          <w:ilvl w:val="0"/>
          <w:numId w:val="6"/>
        </w:numPr>
        <w:spacing w:after="233"/>
        <w:ind w:right="34" w:hanging="567"/>
        <w:rPr>
          <w:rFonts w:ascii="Arial" w:hAnsi="Arial" w:cs="Arial"/>
        </w:rPr>
      </w:pPr>
      <w:r w:rsidRPr="00B16609">
        <w:rPr>
          <w:rFonts w:ascii="Arial" w:hAnsi="Arial" w:cs="Arial"/>
        </w:rPr>
        <w:t xml:space="preserve">… </w:t>
      </w:r>
    </w:p>
    <w:p w14:paraId="12A112CF" w14:textId="77777777" w:rsidR="000D04B5" w:rsidRPr="00B16609" w:rsidRDefault="00D039BE">
      <w:pPr>
        <w:numPr>
          <w:ilvl w:val="0"/>
          <w:numId w:val="6"/>
        </w:numPr>
        <w:spacing w:after="228"/>
        <w:ind w:right="34" w:hanging="567"/>
        <w:rPr>
          <w:rFonts w:ascii="Arial" w:hAnsi="Arial" w:cs="Arial"/>
        </w:rPr>
      </w:pPr>
      <w:r w:rsidRPr="00B16609">
        <w:rPr>
          <w:rFonts w:ascii="Arial" w:hAnsi="Arial" w:cs="Arial"/>
        </w:rPr>
        <w:t xml:space="preserve">… </w:t>
      </w:r>
    </w:p>
    <w:p w14:paraId="485B39AF" w14:textId="77777777" w:rsidR="000D04B5" w:rsidRPr="00B16609" w:rsidRDefault="00D039BE">
      <w:pPr>
        <w:numPr>
          <w:ilvl w:val="0"/>
          <w:numId w:val="6"/>
        </w:numPr>
        <w:spacing w:after="228"/>
        <w:ind w:right="34" w:hanging="567"/>
        <w:rPr>
          <w:rFonts w:ascii="Arial" w:hAnsi="Arial" w:cs="Arial"/>
        </w:rPr>
      </w:pPr>
      <w:r w:rsidRPr="00B16609">
        <w:rPr>
          <w:rFonts w:ascii="Arial" w:hAnsi="Arial" w:cs="Arial"/>
        </w:rPr>
        <w:t xml:space="preserve">… </w:t>
      </w:r>
    </w:p>
    <w:p w14:paraId="6EC0C809" w14:textId="77777777" w:rsidR="000D04B5" w:rsidRPr="00B16609" w:rsidRDefault="00D039BE">
      <w:pPr>
        <w:numPr>
          <w:ilvl w:val="0"/>
          <w:numId w:val="6"/>
        </w:numPr>
        <w:spacing w:after="229"/>
        <w:ind w:right="34" w:hanging="567"/>
        <w:rPr>
          <w:rFonts w:ascii="Arial" w:hAnsi="Arial" w:cs="Arial"/>
        </w:rPr>
      </w:pPr>
      <w:r w:rsidRPr="00B16609">
        <w:rPr>
          <w:rFonts w:ascii="Arial" w:hAnsi="Arial" w:cs="Arial"/>
        </w:rPr>
        <w:t xml:space="preserve">… </w:t>
      </w:r>
    </w:p>
    <w:p w14:paraId="74C6FCD3" w14:textId="77777777" w:rsidR="000D04B5" w:rsidRPr="00B16609" w:rsidRDefault="00D039BE">
      <w:pPr>
        <w:numPr>
          <w:ilvl w:val="0"/>
          <w:numId w:val="6"/>
        </w:numPr>
        <w:spacing w:after="228"/>
        <w:ind w:right="34" w:hanging="567"/>
        <w:rPr>
          <w:rFonts w:ascii="Arial" w:hAnsi="Arial" w:cs="Arial"/>
        </w:rPr>
      </w:pPr>
      <w:r w:rsidRPr="00B16609">
        <w:rPr>
          <w:rFonts w:ascii="Arial" w:hAnsi="Arial" w:cs="Arial"/>
        </w:rPr>
        <w:t xml:space="preserve">… </w:t>
      </w:r>
    </w:p>
    <w:p w14:paraId="10DE18BA" w14:textId="77777777" w:rsidR="000D04B5" w:rsidRPr="00B16609" w:rsidRDefault="00D039BE">
      <w:pPr>
        <w:numPr>
          <w:ilvl w:val="0"/>
          <w:numId w:val="6"/>
        </w:numPr>
        <w:spacing w:after="228"/>
        <w:ind w:right="34" w:hanging="567"/>
        <w:rPr>
          <w:rFonts w:ascii="Arial" w:hAnsi="Arial" w:cs="Arial"/>
        </w:rPr>
      </w:pPr>
      <w:r w:rsidRPr="00B16609">
        <w:rPr>
          <w:rFonts w:ascii="Arial" w:hAnsi="Arial" w:cs="Arial"/>
        </w:rPr>
        <w:t xml:space="preserve">… </w:t>
      </w:r>
    </w:p>
    <w:p w14:paraId="3367449A" w14:textId="77777777" w:rsidR="000D04B5" w:rsidRPr="00B16609" w:rsidRDefault="00D039BE">
      <w:pPr>
        <w:numPr>
          <w:ilvl w:val="0"/>
          <w:numId w:val="6"/>
        </w:numPr>
        <w:spacing w:after="228"/>
        <w:ind w:right="34" w:hanging="567"/>
        <w:rPr>
          <w:rFonts w:ascii="Arial" w:hAnsi="Arial" w:cs="Arial"/>
        </w:rPr>
      </w:pPr>
      <w:r w:rsidRPr="00B16609">
        <w:rPr>
          <w:rFonts w:ascii="Arial" w:hAnsi="Arial" w:cs="Arial"/>
        </w:rPr>
        <w:t xml:space="preserve">… </w:t>
      </w:r>
    </w:p>
    <w:p w14:paraId="1BBFA828" w14:textId="77777777" w:rsidR="000D04B5" w:rsidRPr="00B16609" w:rsidRDefault="00D039BE">
      <w:pPr>
        <w:numPr>
          <w:ilvl w:val="0"/>
          <w:numId w:val="6"/>
        </w:numPr>
        <w:ind w:right="34" w:hanging="567"/>
        <w:rPr>
          <w:rFonts w:ascii="Arial" w:hAnsi="Arial" w:cs="Arial"/>
        </w:rPr>
      </w:pPr>
      <w:r w:rsidRPr="00B16609">
        <w:rPr>
          <w:rFonts w:ascii="Arial" w:hAnsi="Arial" w:cs="Arial"/>
        </w:rPr>
        <w:t xml:space="preserve">… </w:t>
      </w:r>
    </w:p>
    <w:p w14:paraId="22A2C2B3" w14:textId="77777777" w:rsidR="000D04B5" w:rsidRPr="00B16609" w:rsidRDefault="00D039BE">
      <w:pPr>
        <w:ind w:left="-8" w:right="34"/>
        <w:rPr>
          <w:rFonts w:ascii="Arial" w:hAnsi="Arial" w:cs="Arial"/>
        </w:rPr>
      </w:pPr>
      <w:r w:rsidRPr="00B16609">
        <w:rPr>
          <w:rFonts w:ascii="Arial" w:hAnsi="Arial" w:cs="Arial"/>
          <w:b/>
        </w:rPr>
        <w:t xml:space="preserve">Artículo 56.- </w:t>
      </w:r>
      <w:r w:rsidRPr="00B16609">
        <w:rPr>
          <w:rFonts w:ascii="Arial" w:hAnsi="Arial" w:cs="Arial"/>
        </w:rPr>
        <w:t xml:space="preserve">Son obligaciones del Presidente Municipal: </w:t>
      </w:r>
    </w:p>
    <w:tbl>
      <w:tblPr>
        <w:tblStyle w:val="TableGrid"/>
        <w:tblW w:w="812" w:type="dxa"/>
        <w:tblInd w:w="284" w:type="dxa"/>
        <w:tblLook w:val="04A0" w:firstRow="1" w:lastRow="0" w:firstColumn="1" w:lastColumn="0" w:noHBand="0" w:noVBand="1"/>
      </w:tblPr>
      <w:tblGrid>
        <w:gridCol w:w="567"/>
        <w:gridCol w:w="245"/>
      </w:tblGrid>
      <w:tr w:rsidR="000D04B5" w:rsidRPr="00B16609" w14:paraId="0AE6C52A" w14:textId="77777777">
        <w:trPr>
          <w:trHeight w:val="413"/>
        </w:trPr>
        <w:tc>
          <w:tcPr>
            <w:tcW w:w="567" w:type="dxa"/>
            <w:tcBorders>
              <w:top w:val="nil"/>
              <w:left w:val="nil"/>
              <w:bottom w:val="nil"/>
              <w:right w:val="nil"/>
            </w:tcBorders>
          </w:tcPr>
          <w:p w14:paraId="59142165"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I.</w:t>
            </w:r>
            <w:r w:rsidRPr="00B16609">
              <w:rPr>
                <w:rFonts w:ascii="Arial" w:eastAsia="Arial" w:hAnsi="Arial" w:cs="Arial"/>
              </w:rPr>
              <w:t xml:space="preserve"> </w:t>
            </w:r>
          </w:p>
        </w:tc>
        <w:tc>
          <w:tcPr>
            <w:tcW w:w="245" w:type="dxa"/>
            <w:tcBorders>
              <w:top w:val="nil"/>
              <w:left w:val="nil"/>
              <w:bottom w:val="nil"/>
              <w:right w:val="nil"/>
            </w:tcBorders>
          </w:tcPr>
          <w:p w14:paraId="74520DC2" w14:textId="77777777" w:rsidR="000D04B5" w:rsidRPr="00B16609" w:rsidRDefault="00D039BE">
            <w:pPr>
              <w:spacing w:after="0" w:line="259" w:lineRule="auto"/>
              <w:ind w:left="0" w:right="0" w:firstLine="0"/>
              <w:rPr>
                <w:rFonts w:ascii="Arial" w:hAnsi="Arial" w:cs="Arial"/>
              </w:rPr>
            </w:pPr>
            <w:r w:rsidRPr="00B16609">
              <w:rPr>
                <w:rFonts w:ascii="Arial" w:hAnsi="Arial" w:cs="Arial"/>
              </w:rPr>
              <w:t xml:space="preserve">… </w:t>
            </w:r>
          </w:p>
        </w:tc>
      </w:tr>
      <w:tr w:rsidR="000D04B5" w:rsidRPr="00B16609" w14:paraId="4549E45C" w14:textId="77777777">
        <w:trPr>
          <w:trHeight w:val="533"/>
        </w:trPr>
        <w:tc>
          <w:tcPr>
            <w:tcW w:w="567" w:type="dxa"/>
            <w:tcBorders>
              <w:top w:val="nil"/>
              <w:left w:val="nil"/>
              <w:bottom w:val="nil"/>
              <w:right w:val="nil"/>
            </w:tcBorders>
            <w:vAlign w:val="center"/>
          </w:tcPr>
          <w:p w14:paraId="52268F22"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II.</w:t>
            </w:r>
            <w:r w:rsidRPr="00B16609">
              <w:rPr>
                <w:rFonts w:ascii="Arial" w:eastAsia="Arial" w:hAnsi="Arial" w:cs="Arial"/>
              </w:rPr>
              <w:t xml:space="preserve"> </w:t>
            </w:r>
          </w:p>
        </w:tc>
        <w:tc>
          <w:tcPr>
            <w:tcW w:w="245" w:type="dxa"/>
            <w:tcBorders>
              <w:top w:val="nil"/>
              <w:left w:val="nil"/>
              <w:bottom w:val="nil"/>
              <w:right w:val="nil"/>
            </w:tcBorders>
            <w:vAlign w:val="center"/>
          </w:tcPr>
          <w:p w14:paraId="2C4DF201" w14:textId="77777777" w:rsidR="000D04B5" w:rsidRPr="00B16609" w:rsidRDefault="00D039BE">
            <w:pPr>
              <w:spacing w:after="0" w:line="259" w:lineRule="auto"/>
              <w:ind w:left="0" w:right="0" w:firstLine="0"/>
              <w:rPr>
                <w:rFonts w:ascii="Arial" w:hAnsi="Arial" w:cs="Arial"/>
              </w:rPr>
            </w:pPr>
            <w:r w:rsidRPr="00B16609">
              <w:rPr>
                <w:rFonts w:ascii="Arial" w:hAnsi="Arial" w:cs="Arial"/>
              </w:rPr>
              <w:t xml:space="preserve">… </w:t>
            </w:r>
          </w:p>
        </w:tc>
      </w:tr>
      <w:tr w:rsidR="000D04B5" w:rsidRPr="00B16609" w14:paraId="6732FECC" w14:textId="77777777">
        <w:trPr>
          <w:trHeight w:val="533"/>
        </w:trPr>
        <w:tc>
          <w:tcPr>
            <w:tcW w:w="567" w:type="dxa"/>
            <w:tcBorders>
              <w:top w:val="nil"/>
              <w:left w:val="nil"/>
              <w:bottom w:val="nil"/>
              <w:right w:val="nil"/>
            </w:tcBorders>
            <w:vAlign w:val="center"/>
          </w:tcPr>
          <w:p w14:paraId="3ECA68A6"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III.</w:t>
            </w:r>
            <w:r w:rsidRPr="00B16609">
              <w:rPr>
                <w:rFonts w:ascii="Arial" w:eastAsia="Arial" w:hAnsi="Arial" w:cs="Arial"/>
              </w:rPr>
              <w:t xml:space="preserve"> </w:t>
            </w:r>
          </w:p>
        </w:tc>
        <w:tc>
          <w:tcPr>
            <w:tcW w:w="245" w:type="dxa"/>
            <w:tcBorders>
              <w:top w:val="nil"/>
              <w:left w:val="nil"/>
              <w:bottom w:val="nil"/>
              <w:right w:val="nil"/>
            </w:tcBorders>
            <w:vAlign w:val="center"/>
          </w:tcPr>
          <w:p w14:paraId="761D903A" w14:textId="77777777" w:rsidR="000D04B5" w:rsidRPr="00B16609" w:rsidRDefault="00D039BE">
            <w:pPr>
              <w:spacing w:after="0" w:line="259" w:lineRule="auto"/>
              <w:ind w:left="0" w:right="0" w:firstLine="0"/>
              <w:rPr>
                <w:rFonts w:ascii="Arial" w:hAnsi="Arial" w:cs="Arial"/>
              </w:rPr>
            </w:pPr>
            <w:r w:rsidRPr="00B16609">
              <w:rPr>
                <w:rFonts w:ascii="Arial" w:hAnsi="Arial" w:cs="Arial"/>
              </w:rPr>
              <w:t xml:space="preserve">… </w:t>
            </w:r>
          </w:p>
        </w:tc>
      </w:tr>
      <w:tr w:rsidR="000D04B5" w:rsidRPr="00B16609" w14:paraId="1B069B47" w14:textId="77777777">
        <w:trPr>
          <w:trHeight w:val="533"/>
        </w:trPr>
        <w:tc>
          <w:tcPr>
            <w:tcW w:w="567" w:type="dxa"/>
            <w:tcBorders>
              <w:top w:val="nil"/>
              <w:left w:val="nil"/>
              <w:bottom w:val="nil"/>
              <w:right w:val="nil"/>
            </w:tcBorders>
            <w:vAlign w:val="center"/>
          </w:tcPr>
          <w:p w14:paraId="2A65D05F"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IV.</w:t>
            </w:r>
            <w:r w:rsidRPr="00B16609">
              <w:rPr>
                <w:rFonts w:ascii="Arial" w:eastAsia="Arial" w:hAnsi="Arial" w:cs="Arial"/>
              </w:rPr>
              <w:t xml:space="preserve"> </w:t>
            </w:r>
          </w:p>
        </w:tc>
        <w:tc>
          <w:tcPr>
            <w:tcW w:w="245" w:type="dxa"/>
            <w:tcBorders>
              <w:top w:val="nil"/>
              <w:left w:val="nil"/>
              <w:bottom w:val="nil"/>
              <w:right w:val="nil"/>
            </w:tcBorders>
            <w:vAlign w:val="center"/>
          </w:tcPr>
          <w:p w14:paraId="1EF79472" w14:textId="77777777" w:rsidR="000D04B5" w:rsidRPr="00B16609" w:rsidRDefault="00D039BE">
            <w:pPr>
              <w:spacing w:after="0" w:line="259" w:lineRule="auto"/>
              <w:ind w:left="0" w:right="0" w:firstLine="0"/>
              <w:rPr>
                <w:rFonts w:ascii="Arial" w:hAnsi="Arial" w:cs="Arial"/>
              </w:rPr>
            </w:pPr>
            <w:r w:rsidRPr="00B16609">
              <w:rPr>
                <w:rFonts w:ascii="Arial" w:hAnsi="Arial" w:cs="Arial"/>
              </w:rPr>
              <w:t xml:space="preserve">… </w:t>
            </w:r>
          </w:p>
        </w:tc>
      </w:tr>
      <w:tr w:rsidR="000D04B5" w:rsidRPr="00B16609" w14:paraId="448842FC" w14:textId="77777777">
        <w:trPr>
          <w:trHeight w:val="533"/>
        </w:trPr>
        <w:tc>
          <w:tcPr>
            <w:tcW w:w="567" w:type="dxa"/>
            <w:tcBorders>
              <w:top w:val="nil"/>
              <w:left w:val="nil"/>
              <w:bottom w:val="nil"/>
              <w:right w:val="nil"/>
            </w:tcBorders>
            <w:vAlign w:val="center"/>
          </w:tcPr>
          <w:p w14:paraId="677FBFAB"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V.</w:t>
            </w:r>
            <w:r w:rsidRPr="00B16609">
              <w:rPr>
                <w:rFonts w:ascii="Arial" w:eastAsia="Arial" w:hAnsi="Arial" w:cs="Arial"/>
              </w:rPr>
              <w:t xml:space="preserve"> </w:t>
            </w:r>
          </w:p>
        </w:tc>
        <w:tc>
          <w:tcPr>
            <w:tcW w:w="245" w:type="dxa"/>
            <w:tcBorders>
              <w:top w:val="nil"/>
              <w:left w:val="nil"/>
              <w:bottom w:val="nil"/>
              <w:right w:val="nil"/>
            </w:tcBorders>
            <w:vAlign w:val="center"/>
          </w:tcPr>
          <w:p w14:paraId="2AE8EAE6" w14:textId="77777777" w:rsidR="000D04B5" w:rsidRPr="00B16609" w:rsidRDefault="00D039BE">
            <w:pPr>
              <w:spacing w:after="0" w:line="259" w:lineRule="auto"/>
              <w:ind w:left="0" w:right="0" w:firstLine="0"/>
              <w:rPr>
                <w:rFonts w:ascii="Arial" w:hAnsi="Arial" w:cs="Arial"/>
              </w:rPr>
            </w:pPr>
            <w:r w:rsidRPr="00B16609">
              <w:rPr>
                <w:rFonts w:ascii="Arial" w:hAnsi="Arial" w:cs="Arial"/>
              </w:rPr>
              <w:t xml:space="preserve">… </w:t>
            </w:r>
          </w:p>
        </w:tc>
      </w:tr>
      <w:tr w:rsidR="000D04B5" w:rsidRPr="00B16609" w14:paraId="53F4282B" w14:textId="77777777">
        <w:trPr>
          <w:trHeight w:val="413"/>
        </w:trPr>
        <w:tc>
          <w:tcPr>
            <w:tcW w:w="567" w:type="dxa"/>
            <w:tcBorders>
              <w:top w:val="nil"/>
              <w:left w:val="nil"/>
              <w:bottom w:val="nil"/>
              <w:right w:val="nil"/>
            </w:tcBorders>
            <w:vAlign w:val="bottom"/>
          </w:tcPr>
          <w:p w14:paraId="3A7E97B0"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VI.</w:t>
            </w:r>
            <w:r w:rsidRPr="00B16609">
              <w:rPr>
                <w:rFonts w:ascii="Arial" w:eastAsia="Arial" w:hAnsi="Arial" w:cs="Arial"/>
              </w:rPr>
              <w:t xml:space="preserve"> </w:t>
            </w:r>
          </w:p>
        </w:tc>
        <w:tc>
          <w:tcPr>
            <w:tcW w:w="245" w:type="dxa"/>
            <w:tcBorders>
              <w:top w:val="nil"/>
              <w:left w:val="nil"/>
              <w:bottom w:val="nil"/>
              <w:right w:val="nil"/>
            </w:tcBorders>
            <w:vAlign w:val="bottom"/>
          </w:tcPr>
          <w:p w14:paraId="258E021F" w14:textId="77777777" w:rsidR="000D04B5" w:rsidRPr="00B16609" w:rsidRDefault="00D039BE">
            <w:pPr>
              <w:spacing w:after="0" w:line="259" w:lineRule="auto"/>
              <w:ind w:left="0" w:right="0" w:firstLine="0"/>
              <w:rPr>
                <w:rFonts w:ascii="Arial" w:hAnsi="Arial" w:cs="Arial"/>
              </w:rPr>
            </w:pPr>
            <w:r w:rsidRPr="00B16609">
              <w:rPr>
                <w:rFonts w:ascii="Arial" w:hAnsi="Arial" w:cs="Arial"/>
              </w:rPr>
              <w:t xml:space="preserve">… </w:t>
            </w:r>
          </w:p>
        </w:tc>
      </w:tr>
    </w:tbl>
    <w:p w14:paraId="58B5C958" w14:textId="77777777" w:rsidR="000D04B5" w:rsidRPr="00B16609" w:rsidRDefault="00D039BE">
      <w:pPr>
        <w:numPr>
          <w:ilvl w:val="0"/>
          <w:numId w:val="7"/>
        </w:numPr>
        <w:spacing w:after="229"/>
        <w:ind w:right="34" w:hanging="567"/>
        <w:rPr>
          <w:rFonts w:ascii="Arial" w:hAnsi="Arial" w:cs="Arial"/>
        </w:rPr>
      </w:pPr>
      <w:r w:rsidRPr="00B16609">
        <w:rPr>
          <w:rFonts w:ascii="Arial" w:hAnsi="Arial" w:cs="Arial"/>
        </w:rPr>
        <w:t xml:space="preserve">… </w:t>
      </w:r>
    </w:p>
    <w:p w14:paraId="50FA18FF" w14:textId="77777777" w:rsidR="000D04B5" w:rsidRPr="00B16609" w:rsidRDefault="00D039BE">
      <w:pPr>
        <w:numPr>
          <w:ilvl w:val="0"/>
          <w:numId w:val="7"/>
        </w:numPr>
        <w:spacing w:after="233"/>
        <w:ind w:right="34" w:hanging="567"/>
        <w:rPr>
          <w:rFonts w:ascii="Arial" w:hAnsi="Arial" w:cs="Arial"/>
        </w:rPr>
      </w:pPr>
      <w:r w:rsidRPr="00B16609">
        <w:rPr>
          <w:rFonts w:ascii="Arial" w:hAnsi="Arial" w:cs="Arial"/>
        </w:rPr>
        <w:t xml:space="preserve">… </w:t>
      </w:r>
    </w:p>
    <w:p w14:paraId="259DDB49" w14:textId="77777777" w:rsidR="000D04B5" w:rsidRPr="00B16609" w:rsidRDefault="00D039BE">
      <w:pPr>
        <w:numPr>
          <w:ilvl w:val="0"/>
          <w:numId w:val="7"/>
        </w:numPr>
        <w:spacing w:after="228"/>
        <w:ind w:right="34" w:hanging="567"/>
        <w:rPr>
          <w:rFonts w:ascii="Arial" w:hAnsi="Arial" w:cs="Arial"/>
        </w:rPr>
      </w:pPr>
      <w:r w:rsidRPr="00B16609">
        <w:rPr>
          <w:rFonts w:ascii="Arial" w:hAnsi="Arial" w:cs="Arial"/>
        </w:rPr>
        <w:t xml:space="preserve">… </w:t>
      </w:r>
    </w:p>
    <w:p w14:paraId="33F24188" w14:textId="77777777" w:rsidR="000D04B5" w:rsidRPr="00B16609" w:rsidRDefault="00D039BE">
      <w:pPr>
        <w:spacing w:after="230"/>
        <w:ind w:left="851" w:right="34" w:hanging="567"/>
        <w:rPr>
          <w:rFonts w:ascii="Arial" w:hAnsi="Arial" w:cs="Arial"/>
        </w:rPr>
      </w:pPr>
      <w:r w:rsidRPr="00B16609">
        <w:rPr>
          <w:rFonts w:ascii="Arial" w:hAnsi="Arial" w:cs="Arial"/>
        </w:rPr>
        <w:t xml:space="preserve">IX Bis. Tratándose de la contratación de asesoría por parte de personas prestadoras de servicios profesionales en materia jurídica, técnica de obra, contable o de otra materia afín a la administración municipal, informar al Congreso del Estado, en un plazo no mayor de quince días contados a partir de la fecha de del inicio de la prestación del servicio, el nombre, la dirección fiscal y el correo electrónico correspondiente, así como remitir copia del contrato y la documentación que Io integre, a efecto de constatar que el prestador de servicios se encuentra en el padrón que llevará a efecto el órgano legislativo. La omisión a la presente obligación será objeto de responsabilidad administrativa del presidente municipal. </w:t>
      </w:r>
    </w:p>
    <w:p w14:paraId="6FC8D937" w14:textId="77777777" w:rsidR="000D04B5" w:rsidRPr="00B16609" w:rsidRDefault="00D039BE">
      <w:pPr>
        <w:ind w:left="-8" w:right="34"/>
        <w:rPr>
          <w:rFonts w:ascii="Arial" w:hAnsi="Arial" w:cs="Arial"/>
        </w:rPr>
      </w:pPr>
      <w:r w:rsidRPr="00B16609">
        <w:rPr>
          <w:rFonts w:ascii="Arial" w:hAnsi="Arial" w:cs="Arial"/>
          <w:b/>
        </w:rPr>
        <w:t>Artículo 58.-</w:t>
      </w:r>
      <w:r w:rsidRPr="00B16609">
        <w:rPr>
          <w:rFonts w:ascii="Arial" w:hAnsi="Arial" w:cs="Arial"/>
        </w:rPr>
        <w:t xml:space="preserve"> Para ser Síndico se requiere, además de los requisitos establecidos en el artículo 78 de la Constitución Política, poseer buena fama pública y una escolaridad mínima de secundaria, con excepción de los municipios comprendidos en las fracciones de la II a la IV del artículo 22 de la presente Ley, en los cuales el Síndico deberá contar con escolaridad mínima de Media Superior. </w:t>
      </w:r>
    </w:p>
    <w:p w14:paraId="074218E2"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0DC139FF" w14:textId="77777777" w:rsidR="000D04B5" w:rsidRPr="00B16609" w:rsidRDefault="00D039BE">
      <w:pPr>
        <w:ind w:left="-8" w:right="34"/>
        <w:rPr>
          <w:rFonts w:ascii="Arial" w:hAnsi="Arial" w:cs="Arial"/>
        </w:rPr>
      </w:pPr>
      <w:r w:rsidRPr="00B16609">
        <w:rPr>
          <w:rFonts w:ascii="Arial" w:hAnsi="Arial" w:cs="Arial"/>
          <w:b/>
        </w:rPr>
        <w:t>Artículo 71 Ter.-</w:t>
      </w:r>
      <w:r w:rsidRPr="00B16609">
        <w:rPr>
          <w:rFonts w:ascii="Arial" w:hAnsi="Arial" w:cs="Arial"/>
        </w:rPr>
        <w:t xml:space="preserve"> Los asesores municipales tendrán como obligaciones las siguientes: </w:t>
      </w:r>
    </w:p>
    <w:p w14:paraId="48DA9F56"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061F8CD3" w14:textId="77777777" w:rsidR="000D04B5" w:rsidRPr="00B16609" w:rsidRDefault="00D039BE">
      <w:pPr>
        <w:numPr>
          <w:ilvl w:val="0"/>
          <w:numId w:val="8"/>
        </w:numPr>
        <w:spacing w:after="230"/>
        <w:ind w:right="34" w:hanging="720"/>
        <w:rPr>
          <w:rFonts w:ascii="Arial" w:hAnsi="Arial" w:cs="Arial"/>
        </w:rPr>
      </w:pPr>
      <w:r w:rsidRPr="00B16609">
        <w:rPr>
          <w:rFonts w:ascii="Arial" w:hAnsi="Arial" w:cs="Arial"/>
        </w:rPr>
        <w:t xml:space="preserve">… </w:t>
      </w:r>
    </w:p>
    <w:p w14:paraId="036A2152" w14:textId="77777777" w:rsidR="000D04B5" w:rsidRPr="00B16609" w:rsidRDefault="00D039BE">
      <w:pPr>
        <w:numPr>
          <w:ilvl w:val="0"/>
          <w:numId w:val="8"/>
        </w:numPr>
        <w:ind w:right="34" w:hanging="720"/>
        <w:rPr>
          <w:rFonts w:ascii="Arial" w:hAnsi="Arial" w:cs="Arial"/>
        </w:rPr>
      </w:pPr>
      <w:r w:rsidRPr="00B16609">
        <w:rPr>
          <w:rFonts w:ascii="Arial" w:hAnsi="Arial" w:cs="Arial"/>
        </w:rPr>
        <w:t xml:space="preserve">… </w:t>
      </w:r>
    </w:p>
    <w:p w14:paraId="198CEFC7" w14:textId="77777777" w:rsidR="000D04B5" w:rsidRPr="00B16609" w:rsidRDefault="00D039BE">
      <w:pPr>
        <w:numPr>
          <w:ilvl w:val="0"/>
          <w:numId w:val="8"/>
        </w:numPr>
        <w:spacing w:after="229"/>
        <w:ind w:right="34" w:hanging="720"/>
        <w:rPr>
          <w:rFonts w:ascii="Arial" w:hAnsi="Arial" w:cs="Arial"/>
        </w:rPr>
      </w:pPr>
      <w:r w:rsidRPr="00B16609">
        <w:rPr>
          <w:rFonts w:ascii="Arial" w:hAnsi="Arial" w:cs="Arial"/>
        </w:rPr>
        <w:t>…</w:t>
      </w:r>
    </w:p>
    <w:p w14:paraId="4ED7667B" w14:textId="77777777" w:rsidR="000D04B5" w:rsidRPr="00B16609" w:rsidRDefault="00D039BE">
      <w:pPr>
        <w:numPr>
          <w:ilvl w:val="0"/>
          <w:numId w:val="8"/>
        </w:numPr>
        <w:spacing w:after="229"/>
        <w:ind w:right="34" w:hanging="720"/>
        <w:rPr>
          <w:rFonts w:ascii="Arial" w:hAnsi="Arial" w:cs="Arial"/>
        </w:rPr>
      </w:pPr>
      <w:r w:rsidRPr="00B16609">
        <w:rPr>
          <w:rFonts w:ascii="Arial" w:hAnsi="Arial" w:cs="Arial"/>
        </w:rPr>
        <w:t xml:space="preserve">… </w:t>
      </w:r>
    </w:p>
    <w:p w14:paraId="38835793" w14:textId="77777777" w:rsidR="000D04B5" w:rsidRPr="00B16609" w:rsidRDefault="00D039BE">
      <w:pPr>
        <w:numPr>
          <w:ilvl w:val="0"/>
          <w:numId w:val="8"/>
        </w:numPr>
        <w:spacing w:after="229"/>
        <w:ind w:right="34" w:hanging="720"/>
        <w:rPr>
          <w:rFonts w:ascii="Arial" w:hAnsi="Arial" w:cs="Arial"/>
        </w:rPr>
      </w:pPr>
      <w:r w:rsidRPr="00B16609">
        <w:rPr>
          <w:rFonts w:ascii="Arial" w:hAnsi="Arial" w:cs="Arial"/>
        </w:rPr>
        <w:t xml:space="preserve">… </w:t>
      </w:r>
    </w:p>
    <w:p w14:paraId="21C3628B" w14:textId="77777777" w:rsidR="000D04B5" w:rsidRPr="00B16609" w:rsidRDefault="00D039BE">
      <w:pPr>
        <w:numPr>
          <w:ilvl w:val="0"/>
          <w:numId w:val="8"/>
        </w:numPr>
        <w:spacing w:after="229"/>
        <w:ind w:right="34" w:hanging="720"/>
        <w:rPr>
          <w:rFonts w:ascii="Arial" w:hAnsi="Arial" w:cs="Arial"/>
        </w:rPr>
      </w:pPr>
      <w:r w:rsidRPr="00B16609">
        <w:rPr>
          <w:rFonts w:ascii="Arial" w:hAnsi="Arial" w:cs="Arial"/>
        </w:rPr>
        <w:t xml:space="preserve">… </w:t>
      </w:r>
    </w:p>
    <w:p w14:paraId="5FA8348D" w14:textId="77777777" w:rsidR="000D04B5" w:rsidRPr="00B16609" w:rsidRDefault="00D039BE">
      <w:pPr>
        <w:numPr>
          <w:ilvl w:val="0"/>
          <w:numId w:val="8"/>
        </w:numPr>
        <w:spacing w:after="229"/>
        <w:ind w:right="34" w:hanging="720"/>
        <w:rPr>
          <w:rFonts w:ascii="Arial" w:hAnsi="Arial" w:cs="Arial"/>
        </w:rPr>
      </w:pPr>
      <w:r w:rsidRPr="00B16609">
        <w:rPr>
          <w:rFonts w:ascii="Arial" w:hAnsi="Arial" w:cs="Arial"/>
        </w:rPr>
        <w:t xml:space="preserve">… </w:t>
      </w:r>
    </w:p>
    <w:p w14:paraId="52F4FF0E" w14:textId="77777777" w:rsidR="000D04B5" w:rsidRPr="00B16609" w:rsidRDefault="00D039BE">
      <w:pPr>
        <w:numPr>
          <w:ilvl w:val="0"/>
          <w:numId w:val="8"/>
        </w:numPr>
        <w:spacing w:after="229"/>
        <w:ind w:right="34" w:hanging="720"/>
        <w:rPr>
          <w:rFonts w:ascii="Arial" w:hAnsi="Arial" w:cs="Arial"/>
        </w:rPr>
      </w:pPr>
      <w:r w:rsidRPr="00B16609">
        <w:rPr>
          <w:rFonts w:ascii="Arial" w:hAnsi="Arial" w:cs="Arial"/>
        </w:rPr>
        <w:t xml:space="preserve">… </w:t>
      </w:r>
    </w:p>
    <w:p w14:paraId="1BE9A344" w14:textId="77777777" w:rsidR="000D04B5" w:rsidRPr="00B16609" w:rsidRDefault="00D039BE">
      <w:pPr>
        <w:numPr>
          <w:ilvl w:val="0"/>
          <w:numId w:val="8"/>
        </w:numPr>
        <w:spacing w:after="228"/>
        <w:ind w:right="34" w:hanging="720"/>
        <w:rPr>
          <w:rFonts w:ascii="Arial" w:hAnsi="Arial" w:cs="Arial"/>
        </w:rPr>
      </w:pPr>
      <w:r w:rsidRPr="00B16609">
        <w:rPr>
          <w:rFonts w:ascii="Arial" w:hAnsi="Arial" w:cs="Arial"/>
        </w:rPr>
        <w:t xml:space="preserve">… </w:t>
      </w:r>
    </w:p>
    <w:p w14:paraId="6D291FBF" w14:textId="77777777" w:rsidR="000D04B5" w:rsidRPr="00B16609" w:rsidRDefault="00D039BE">
      <w:pPr>
        <w:numPr>
          <w:ilvl w:val="0"/>
          <w:numId w:val="8"/>
        </w:numPr>
        <w:spacing w:after="235"/>
        <w:ind w:right="34" w:hanging="720"/>
        <w:rPr>
          <w:rFonts w:ascii="Arial" w:hAnsi="Arial" w:cs="Arial"/>
        </w:rPr>
      </w:pPr>
      <w:r w:rsidRPr="00B16609">
        <w:rPr>
          <w:rFonts w:ascii="Arial" w:hAnsi="Arial" w:cs="Arial"/>
        </w:rPr>
        <w:t xml:space="preserve">Mantenerse en actualización constante en el área profesional de su asesoría, así como en materia de administración pública municipal, y </w:t>
      </w:r>
    </w:p>
    <w:p w14:paraId="5DB3DD7E" w14:textId="3A34038D" w:rsidR="000D04B5" w:rsidRPr="00B16609" w:rsidRDefault="00D039BE">
      <w:pPr>
        <w:numPr>
          <w:ilvl w:val="0"/>
          <w:numId w:val="8"/>
        </w:numPr>
        <w:spacing w:after="230"/>
        <w:ind w:right="34" w:hanging="720"/>
        <w:rPr>
          <w:rFonts w:ascii="Arial" w:hAnsi="Arial" w:cs="Arial"/>
        </w:rPr>
      </w:pPr>
      <w:r w:rsidRPr="00B16609">
        <w:rPr>
          <w:rFonts w:ascii="Arial" w:hAnsi="Arial" w:cs="Arial"/>
        </w:rPr>
        <w:t xml:space="preserve">Registrarse en el padrón de asesores municipales del Congreso del Estado, en un plazo no mayor de quince días previos a la fecha en que vaya a comenzar a prestar sus servicios en un Ayuntamiento. Para ello deberán indicar su nombre, dirección fiscal y correo electrónico correspondiente, así como presentar un tanto del contrato de prestación de </w:t>
      </w:r>
      <w:r w:rsidR="0015675A" w:rsidRPr="00B16609">
        <w:rPr>
          <w:rFonts w:ascii="Arial" w:hAnsi="Arial" w:cs="Arial"/>
        </w:rPr>
        <w:t>servicios respectivos</w:t>
      </w:r>
      <w:r w:rsidRPr="00B16609">
        <w:rPr>
          <w:rFonts w:ascii="Arial" w:hAnsi="Arial" w:cs="Arial"/>
        </w:rPr>
        <w:t xml:space="preserve"> y la documentación que Io integre, y remitir copia de la información al Instituto de Desarrollo Regional y Municipal. La omisión a la presente obligación será causa de responsabilidad, de acuerdo con lo dispuesto en el artículo siguiente. Para tal efecto, el Congreso del Estado podrá colaborar con información con los Órganos de Control Interno de los municipios. </w:t>
      </w:r>
    </w:p>
    <w:p w14:paraId="58451565" w14:textId="77777777" w:rsidR="000D04B5" w:rsidRPr="00B16609" w:rsidRDefault="00D039BE">
      <w:pPr>
        <w:ind w:left="-8" w:right="34"/>
        <w:rPr>
          <w:rFonts w:ascii="Arial" w:hAnsi="Arial" w:cs="Arial"/>
        </w:rPr>
      </w:pPr>
      <w:r w:rsidRPr="00B16609">
        <w:rPr>
          <w:rFonts w:ascii="Arial" w:hAnsi="Arial" w:cs="Arial"/>
          <w:b/>
        </w:rPr>
        <w:t>Artículo 79.-</w:t>
      </w:r>
      <w:r w:rsidRPr="00B16609">
        <w:rPr>
          <w:rFonts w:ascii="Arial" w:hAnsi="Arial" w:cs="Arial"/>
        </w:rPr>
        <w:t xml:space="preserve"> El Cabildo deberá publicar las disposiciones de observancia general que acuerde y, para su obligatoriedad, deberá publicarlas en la Gaceta Municipal, tanto en versión impresa como electrónica, y esta última deberá estar accesible a través del sitio electrónico oficial del municipio. </w:t>
      </w:r>
    </w:p>
    <w:p w14:paraId="6D52AFBC"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182CBCA8" w14:textId="77777777" w:rsidR="000D04B5" w:rsidRPr="00B16609" w:rsidRDefault="00D039BE">
      <w:pPr>
        <w:ind w:left="-8" w:right="34"/>
        <w:rPr>
          <w:rFonts w:ascii="Arial" w:hAnsi="Arial" w:cs="Arial"/>
        </w:rPr>
      </w:pPr>
      <w:r w:rsidRPr="00B16609">
        <w:rPr>
          <w:rFonts w:ascii="Arial" w:hAnsi="Arial" w:cs="Arial"/>
        </w:rPr>
        <w:t xml:space="preserve">La Gaceta Municipal tendrá, al menos, las siguientes características: </w:t>
      </w:r>
    </w:p>
    <w:p w14:paraId="074E282A"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5C679066" w14:textId="77777777" w:rsidR="000D04B5" w:rsidRPr="00B16609" w:rsidRDefault="00D039BE">
      <w:pPr>
        <w:spacing w:line="439" w:lineRule="auto"/>
        <w:ind w:left="364" w:right="7368"/>
        <w:rPr>
          <w:rFonts w:ascii="Arial" w:hAnsi="Arial" w:cs="Arial"/>
        </w:rPr>
      </w:pPr>
      <w:r w:rsidRPr="00B16609">
        <w:rPr>
          <w:rFonts w:ascii="Arial" w:hAnsi="Arial" w:cs="Arial"/>
        </w:rPr>
        <w:t>I.</w:t>
      </w:r>
      <w:r w:rsidRPr="00B16609">
        <w:rPr>
          <w:rFonts w:ascii="Arial" w:eastAsia="Arial" w:hAnsi="Arial" w:cs="Arial"/>
        </w:rPr>
        <w:t xml:space="preserve"> </w:t>
      </w:r>
      <w:r w:rsidRPr="00B16609">
        <w:rPr>
          <w:rFonts w:ascii="Arial" w:eastAsia="Arial" w:hAnsi="Arial" w:cs="Arial"/>
        </w:rPr>
        <w:tab/>
      </w:r>
      <w:r w:rsidRPr="00B16609">
        <w:rPr>
          <w:rFonts w:ascii="Arial" w:hAnsi="Arial" w:cs="Arial"/>
        </w:rPr>
        <w:t>… II.</w:t>
      </w:r>
      <w:r w:rsidRPr="00B16609">
        <w:rPr>
          <w:rFonts w:ascii="Arial" w:eastAsia="Arial" w:hAnsi="Arial" w:cs="Arial"/>
        </w:rPr>
        <w:t xml:space="preserve"> </w:t>
      </w:r>
      <w:r w:rsidRPr="00B16609">
        <w:rPr>
          <w:rFonts w:ascii="Arial" w:hAnsi="Arial" w:cs="Arial"/>
        </w:rPr>
        <w:t xml:space="preserve">… </w:t>
      </w:r>
    </w:p>
    <w:p w14:paraId="0C1B7B4A" w14:textId="77777777" w:rsidR="000D04B5" w:rsidRPr="00B16609" w:rsidRDefault="00D039BE">
      <w:pPr>
        <w:numPr>
          <w:ilvl w:val="0"/>
          <w:numId w:val="9"/>
        </w:numPr>
        <w:spacing w:after="229"/>
        <w:ind w:right="34" w:hanging="720"/>
        <w:rPr>
          <w:rFonts w:ascii="Arial" w:hAnsi="Arial" w:cs="Arial"/>
        </w:rPr>
      </w:pPr>
      <w:r w:rsidRPr="00B16609">
        <w:rPr>
          <w:rFonts w:ascii="Arial" w:hAnsi="Arial" w:cs="Arial"/>
        </w:rPr>
        <w:t xml:space="preserve">… </w:t>
      </w:r>
    </w:p>
    <w:p w14:paraId="15557E62" w14:textId="77777777" w:rsidR="000D04B5" w:rsidRPr="00B16609" w:rsidRDefault="00D039BE">
      <w:pPr>
        <w:numPr>
          <w:ilvl w:val="0"/>
          <w:numId w:val="9"/>
        </w:numPr>
        <w:ind w:right="34" w:hanging="720"/>
        <w:rPr>
          <w:rFonts w:ascii="Arial" w:hAnsi="Arial" w:cs="Arial"/>
        </w:rPr>
      </w:pPr>
      <w:r w:rsidRPr="00B16609">
        <w:rPr>
          <w:rFonts w:ascii="Arial" w:hAnsi="Arial" w:cs="Arial"/>
        </w:rPr>
        <w:t xml:space="preserve">… </w:t>
      </w:r>
    </w:p>
    <w:p w14:paraId="0BDE276F" w14:textId="77777777" w:rsidR="000D04B5" w:rsidRPr="00B16609" w:rsidRDefault="00D039BE">
      <w:pPr>
        <w:numPr>
          <w:ilvl w:val="0"/>
          <w:numId w:val="9"/>
        </w:numPr>
        <w:spacing w:after="228"/>
        <w:ind w:right="34" w:hanging="720"/>
        <w:rPr>
          <w:rFonts w:ascii="Arial" w:hAnsi="Arial" w:cs="Arial"/>
        </w:rPr>
      </w:pPr>
      <w:r w:rsidRPr="00B16609">
        <w:rPr>
          <w:rFonts w:ascii="Arial" w:hAnsi="Arial" w:cs="Arial"/>
        </w:rPr>
        <w:t>…</w:t>
      </w:r>
    </w:p>
    <w:p w14:paraId="649B78C8" w14:textId="797D34A3" w:rsidR="000D04B5" w:rsidRPr="00B16609" w:rsidRDefault="00D039BE">
      <w:pPr>
        <w:ind w:left="-8" w:right="34"/>
        <w:rPr>
          <w:rFonts w:ascii="Arial" w:hAnsi="Arial" w:cs="Arial"/>
        </w:rPr>
      </w:pPr>
      <w:r w:rsidRPr="00B16609">
        <w:rPr>
          <w:rFonts w:ascii="Arial" w:hAnsi="Arial" w:cs="Arial"/>
        </w:rPr>
        <w:t xml:space="preserve">Además de lo dispuesto en artículo 31 de Ley del Diario Oficial del Gobierno del Estado de Yucatán, los Ayuntamientos deberán remitir al Congreso del Estado y al Instituto de Desarrollo Regional y Municipal las ligas electrónicas de cada ejemplar impreso de las Gacetas Municipales publicadas que contengan disposiciones de carácter general, dentro del mismo plazo señalado en dicha disposición. Ante la omisión de la presente obligación, el Congreso del Estado y el Instituto de Desarrollo Regional y Municipal podrán aplicar las recomendaciones establecidas en el segundo párrafo del artículo 31 de la mencionada Ley y, en caso de incumplimiento, el Congreso podrá colaborar con información con los Órganos de Control Interno de los municipios para las responsabilidades a que haya lugar. </w:t>
      </w:r>
    </w:p>
    <w:p w14:paraId="3B7577FC"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2488C488" w14:textId="77777777" w:rsidR="000D04B5" w:rsidRPr="00B16609" w:rsidRDefault="00D039BE">
      <w:pPr>
        <w:ind w:left="-8" w:right="34"/>
        <w:rPr>
          <w:rFonts w:ascii="Arial" w:hAnsi="Arial" w:cs="Arial"/>
        </w:rPr>
      </w:pPr>
      <w:r w:rsidRPr="00B16609">
        <w:rPr>
          <w:rFonts w:ascii="Arial" w:hAnsi="Arial" w:cs="Arial"/>
          <w:b/>
        </w:rPr>
        <w:t>Artículo 86.-</w:t>
      </w:r>
      <w:r w:rsidRPr="00B16609">
        <w:rPr>
          <w:rFonts w:ascii="Arial" w:hAnsi="Arial" w:cs="Arial"/>
        </w:rPr>
        <w:t xml:space="preserve"> El Tesorero es el titular de las oficinas fiscales y hacendarias del Municipio. Será nombrado y removido por el Cabildo a propuesta del Presidente Municipal, y deberá contar con una escolaridad mínima de secundaria, con excepción de los municipios comprendidos en las fracciones de la II a la IV del artículo 22 de la presente Ley, en los cuales el Síndico deberá contar con escolaridad mínima de Media Superior. </w:t>
      </w:r>
    </w:p>
    <w:p w14:paraId="2DE861E9"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4700EC94" w14:textId="77777777" w:rsidR="000D04B5" w:rsidRPr="00B16609" w:rsidRDefault="00D039BE">
      <w:pPr>
        <w:ind w:left="-8" w:right="34"/>
        <w:rPr>
          <w:rFonts w:ascii="Arial" w:hAnsi="Arial" w:cs="Arial"/>
        </w:rPr>
      </w:pPr>
      <w:r w:rsidRPr="00B16609">
        <w:rPr>
          <w:rFonts w:ascii="Arial" w:hAnsi="Arial" w:cs="Arial"/>
        </w:rPr>
        <w:t xml:space="preserve">Para ser Tesorero se requiere: </w:t>
      </w:r>
    </w:p>
    <w:p w14:paraId="0980C7CE" w14:textId="77777777" w:rsidR="000D04B5" w:rsidRPr="00B16609" w:rsidRDefault="00D039BE">
      <w:pPr>
        <w:spacing w:after="0" w:line="259" w:lineRule="auto"/>
        <w:ind w:left="0" w:right="7562" w:firstLine="0"/>
        <w:jc w:val="left"/>
        <w:rPr>
          <w:rFonts w:ascii="Arial" w:hAnsi="Arial" w:cs="Arial"/>
        </w:rPr>
      </w:pPr>
      <w:r w:rsidRPr="00B16609">
        <w:rPr>
          <w:rFonts w:ascii="Arial" w:hAnsi="Arial" w:cs="Arial"/>
        </w:rPr>
        <w:t xml:space="preserve"> </w:t>
      </w:r>
    </w:p>
    <w:tbl>
      <w:tblPr>
        <w:tblStyle w:val="TableGrid"/>
        <w:tblW w:w="968" w:type="dxa"/>
        <w:tblInd w:w="357" w:type="dxa"/>
        <w:tblLook w:val="04A0" w:firstRow="1" w:lastRow="0" w:firstColumn="1" w:lastColumn="0" w:noHBand="0" w:noVBand="1"/>
      </w:tblPr>
      <w:tblGrid>
        <w:gridCol w:w="720"/>
        <w:gridCol w:w="248"/>
      </w:tblGrid>
      <w:tr w:rsidR="000D04B5" w:rsidRPr="00B16609" w14:paraId="53F4B0FB" w14:textId="77777777">
        <w:trPr>
          <w:trHeight w:val="413"/>
        </w:trPr>
        <w:tc>
          <w:tcPr>
            <w:tcW w:w="720" w:type="dxa"/>
            <w:tcBorders>
              <w:top w:val="nil"/>
              <w:left w:val="nil"/>
              <w:bottom w:val="nil"/>
              <w:right w:val="nil"/>
            </w:tcBorders>
          </w:tcPr>
          <w:p w14:paraId="2C7DDBBD" w14:textId="77777777" w:rsidR="000D04B5" w:rsidRPr="00B16609" w:rsidRDefault="00D039BE">
            <w:pPr>
              <w:spacing w:after="0" w:line="259" w:lineRule="auto"/>
              <w:ind w:left="3" w:right="0" w:firstLine="0"/>
              <w:jc w:val="left"/>
              <w:rPr>
                <w:rFonts w:ascii="Arial" w:hAnsi="Arial" w:cs="Arial"/>
              </w:rPr>
            </w:pPr>
            <w:r w:rsidRPr="00B16609">
              <w:rPr>
                <w:rFonts w:ascii="Arial" w:hAnsi="Arial" w:cs="Arial"/>
              </w:rPr>
              <w:t>I.</w:t>
            </w:r>
            <w:r w:rsidRPr="00B16609">
              <w:rPr>
                <w:rFonts w:ascii="Arial" w:eastAsia="Arial" w:hAnsi="Arial" w:cs="Arial"/>
              </w:rPr>
              <w:t xml:space="preserve"> </w:t>
            </w:r>
          </w:p>
        </w:tc>
        <w:tc>
          <w:tcPr>
            <w:tcW w:w="248" w:type="dxa"/>
            <w:tcBorders>
              <w:top w:val="nil"/>
              <w:left w:val="nil"/>
              <w:bottom w:val="nil"/>
              <w:right w:val="nil"/>
            </w:tcBorders>
          </w:tcPr>
          <w:p w14:paraId="7363BA73" w14:textId="77777777" w:rsidR="000D04B5" w:rsidRPr="00B16609" w:rsidRDefault="00D039BE">
            <w:pPr>
              <w:spacing w:after="0" w:line="259" w:lineRule="auto"/>
              <w:ind w:left="3" w:right="0" w:firstLine="0"/>
              <w:rPr>
                <w:rFonts w:ascii="Arial" w:hAnsi="Arial" w:cs="Arial"/>
              </w:rPr>
            </w:pPr>
            <w:r w:rsidRPr="00B16609">
              <w:rPr>
                <w:rFonts w:ascii="Arial" w:hAnsi="Arial" w:cs="Arial"/>
              </w:rPr>
              <w:t xml:space="preserve">… </w:t>
            </w:r>
          </w:p>
        </w:tc>
      </w:tr>
      <w:tr w:rsidR="000D04B5" w:rsidRPr="00B16609" w14:paraId="48651B08" w14:textId="77777777">
        <w:trPr>
          <w:trHeight w:val="533"/>
        </w:trPr>
        <w:tc>
          <w:tcPr>
            <w:tcW w:w="720" w:type="dxa"/>
            <w:tcBorders>
              <w:top w:val="nil"/>
              <w:left w:val="nil"/>
              <w:bottom w:val="nil"/>
              <w:right w:val="nil"/>
            </w:tcBorders>
            <w:vAlign w:val="center"/>
          </w:tcPr>
          <w:p w14:paraId="6D3679E7"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II.</w:t>
            </w:r>
            <w:r w:rsidRPr="00B16609">
              <w:rPr>
                <w:rFonts w:ascii="Arial" w:eastAsia="Arial" w:hAnsi="Arial" w:cs="Arial"/>
              </w:rPr>
              <w:t xml:space="preserve"> </w:t>
            </w:r>
          </w:p>
        </w:tc>
        <w:tc>
          <w:tcPr>
            <w:tcW w:w="248" w:type="dxa"/>
            <w:tcBorders>
              <w:top w:val="nil"/>
              <w:left w:val="nil"/>
              <w:bottom w:val="nil"/>
              <w:right w:val="nil"/>
            </w:tcBorders>
            <w:vAlign w:val="center"/>
          </w:tcPr>
          <w:p w14:paraId="5DEF8243" w14:textId="77777777" w:rsidR="000D04B5" w:rsidRPr="00B16609" w:rsidRDefault="00D039BE">
            <w:pPr>
              <w:spacing w:after="0" w:line="259" w:lineRule="auto"/>
              <w:ind w:left="0" w:right="0" w:firstLine="0"/>
              <w:rPr>
                <w:rFonts w:ascii="Arial" w:hAnsi="Arial" w:cs="Arial"/>
              </w:rPr>
            </w:pPr>
            <w:r w:rsidRPr="00B16609">
              <w:rPr>
                <w:rFonts w:ascii="Arial" w:hAnsi="Arial" w:cs="Arial"/>
              </w:rPr>
              <w:t xml:space="preserve">… </w:t>
            </w:r>
          </w:p>
        </w:tc>
      </w:tr>
      <w:tr w:rsidR="000D04B5" w:rsidRPr="00B16609" w14:paraId="3D1F99FC" w14:textId="77777777">
        <w:trPr>
          <w:trHeight w:val="533"/>
        </w:trPr>
        <w:tc>
          <w:tcPr>
            <w:tcW w:w="720" w:type="dxa"/>
            <w:tcBorders>
              <w:top w:val="nil"/>
              <w:left w:val="nil"/>
              <w:bottom w:val="nil"/>
              <w:right w:val="nil"/>
            </w:tcBorders>
            <w:vAlign w:val="center"/>
          </w:tcPr>
          <w:p w14:paraId="69CAE1D0"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III.</w:t>
            </w:r>
            <w:r w:rsidRPr="00B16609">
              <w:rPr>
                <w:rFonts w:ascii="Arial" w:eastAsia="Arial" w:hAnsi="Arial" w:cs="Arial"/>
              </w:rPr>
              <w:t xml:space="preserve"> </w:t>
            </w:r>
          </w:p>
        </w:tc>
        <w:tc>
          <w:tcPr>
            <w:tcW w:w="248" w:type="dxa"/>
            <w:tcBorders>
              <w:top w:val="nil"/>
              <w:left w:val="nil"/>
              <w:bottom w:val="nil"/>
              <w:right w:val="nil"/>
            </w:tcBorders>
            <w:vAlign w:val="center"/>
          </w:tcPr>
          <w:p w14:paraId="2745D596" w14:textId="77777777" w:rsidR="000D04B5" w:rsidRPr="00B16609" w:rsidRDefault="00D039BE">
            <w:pPr>
              <w:spacing w:after="0" w:line="259" w:lineRule="auto"/>
              <w:ind w:left="0" w:right="0" w:firstLine="0"/>
              <w:rPr>
                <w:rFonts w:ascii="Arial" w:hAnsi="Arial" w:cs="Arial"/>
              </w:rPr>
            </w:pPr>
            <w:r w:rsidRPr="00B16609">
              <w:rPr>
                <w:rFonts w:ascii="Arial" w:hAnsi="Arial" w:cs="Arial"/>
              </w:rPr>
              <w:t xml:space="preserve">… </w:t>
            </w:r>
          </w:p>
        </w:tc>
      </w:tr>
      <w:tr w:rsidR="000D04B5" w:rsidRPr="00B16609" w14:paraId="0AB6D441" w14:textId="77777777">
        <w:trPr>
          <w:trHeight w:val="533"/>
        </w:trPr>
        <w:tc>
          <w:tcPr>
            <w:tcW w:w="720" w:type="dxa"/>
            <w:tcBorders>
              <w:top w:val="nil"/>
              <w:left w:val="nil"/>
              <w:bottom w:val="nil"/>
              <w:right w:val="nil"/>
            </w:tcBorders>
            <w:vAlign w:val="center"/>
          </w:tcPr>
          <w:p w14:paraId="00631EC2"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IV.</w:t>
            </w:r>
            <w:r w:rsidRPr="00B16609">
              <w:rPr>
                <w:rFonts w:ascii="Arial" w:eastAsia="Arial" w:hAnsi="Arial" w:cs="Arial"/>
              </w:rPr>
              <w:t xml:space="preserve"> </w:t>
            </w:r>
          </w:p>
        </w:tc>
        <w:tc>
          <w:tcPr>
            <w:tcW w:w="248" w:type="dxa"/>
            <w:tcBorders>
              <w:top w:val="nil"/>
              <w:left w:val="nil"/>
              <w:bottom w:val="nil"/>
              <w:right w:val="nil"/>
            </w:tcBorders>
            <w:vAlign w:val="center"/>
          </w:tcPr>
          <w:p w14:paraId="759FB384" w14:textId="77777777" w:rsidR="000D04B5" w:rsidRPr="00B16609" w:rsidRDefault="00D039BE">
            <w:pPr>
              <w:spacing w:after="0" w:line="259" w:lineRule="auto"/>
              <w:ind w:left="0" w:right="0" w:firstLine="0"/>
              <w:rPr>
                <w:rFonts w:ascii="Arial" w:hAnsi="Arial" w:cs="Arial"/>
              </w:rPr>
            </w:pPr>
            <w:r w:rsidRPr="00B16609">
              <w:rPr>
                <w:rFonts w:ascii="Arial" w:hAnsi="Arial" w:cs="Arial"/>
              </w:rPr>
              <w:t xml:space="preserve">… </w:t>
            </w:r>
          </w:p>
        </w:tc>
      </w:tr>
      <w:tr w:rsidR="000D04B5" w:rsidRPr="00B16609" w14:paraId="225CD64A" w14:textId="77777777">
        <w:trPr>
          <w:trHeight w:val="533"/>
        </w:trPr>
        <w:tc>
          <w:tcPr>
            <w:tcW w:w="720" w:type="dxa"/>
            <w:tcBorders>
              <w:top w:val="nil"/>
              <w:left w:val="nil"/>
              <w:bottom w:val="nil"/>
              <w:right w:val="nil"/>
            </w:tcBorders>
            <w:vAlign w:val="center"/>
          </w:tcPr>
          <w:p w14:paraId="22F988B9"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V.</w:t>
            </w:r>
            <w:r w:rsidRPr="00B16609">
              <w:rPr>
                <w:rFonts w:ascii="Arial" w:eastAsia="Arial" w:hAnsi="Arial" w:cs="Arial"/>
              </w:rPr>
              <w:t xml:space="preserve"> </w:t>
            </w:r>
          </w:p>
        </w:tc>
        <w:tc>
          <w:tcPr>
            <w:tcW w:w="248" w:type="dxa"/>
            <w:tcBorders>
              <w:top w:val="nil"/>
              <w:left w:val="nil"/>
              <w:bottom w:val="nil"/>
              <w:right w:val="nil"/>
            </w:tcBorders>
            <w:vAlign w:val="center"/>
          </w:tcPr>
          <w:p w14:paraId="59FEE325" w14:textId="77777777" w:rsidR="000D04B5" w:rsidRPr="00B16609" w:rsidRDefault="00D039BE">
            <w:pPr>
              <w:spacing w:after="0" w:line="259" w:lineRule="auto"/>
              <w:ind w:left="0" w:right="0" w:firstLine="0"/>
              <w:rPr>
                <w:rFonts w:ascii="Arial" w:hAnsi="Arial" w:cs="Arial"/>
              </w:rPr>
            </w:pPr>
            <w:r w:rsidRPr="00B16609">
              <w:rPr>
                <w:rFonts w:ascii="Arial" w:hAnsi="Arial" w:cs="Arial"/>
              </w:rPr>
              <w:t xml:space="preserve">… </w:t>
            </w:r>
          </w:p>
        </w:tc>
      </w:tr>
      <w:tr w:rsidR="000D04B5" w:rsidRPr="00B16609" w14:paraId="7594B8C8" w14:textId="77777777">
        <w:trPr>
          <w:trHeight w:val="413"/>
        </w:trPr>
        <w:tc>
          <w:tcPr>
            <w:tcW w:w="720" w:type="dxa"/>
            <w:tcBorders>
              <w:top w:val="nil"/>
              <w:left w:val="nil"/>
              <w:bottom w:val="nil"/>
              <w:right w:val="nil"/>
            </w:tcBorders>
            <w:vAlign w:val="bottom"/>
          </w:tcPr>
          <w:p w14:paraId="5E95922C"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VI.</w:t>
            </w:r>
            <w:r w:rsidRPr="00B16609">
              <w:rPr>
                <w:rFonts w:ascii="Arial" w:eastAsia="Arial" w:hAnsi="Arial" w:cs="Arial"/>
              </w:rPr>
              <w:t xml:space="preserve"> </w:t>
            </w:r>
          </w:p>
        </w:tc>
        <w:tc>
          <w:tcPr>
            <w:tcW w:w="248" w:type="dxa"/>
            <w:tcBorders>
              <w:top w:val="nil"/>
              <w:left w:val="nil"/>
              <w:bottom w:val="nil"/>
              <w:right w:val="nil"/>
            </w:tcBorders>
            <w:vAlign w:val="bottom"/>
          </w:tcPr>
          <w:p w14:paraId="2B159227" w14:textId="77777777" w:rsidR="000D04B5" w:rsidRPr="00B16609" w:rsidRDefault="00D039BE">
            <w:pPr>
              <w:spacing w:after="0" w:line="259" w:lineRule="auto"/>
              <w:ind w:left="0" w:right="0" w:firstLine="0"/>
              <w:rPr>
                <w:rFonts w:ascii="Arial" w:hAnsi="Arial" w:cs="Arial"/>
              </w:rPr>
            </w:pPr>
            <w:r w:rsidRPr="00B16609">
              <w:rPr>
                <w:rFonts w:ascii="Arial" w:hAnsi="Arial" w:cs="Arial"/>
              </w:rPr>
              <w:t xml:space="preserve">… </w:t>
            </w:r>
          </w:p>
        </w:tc>
      </w:tr>
    </w:tbl>
    <w:p w14:paraId="6581CFF5" w14:textId="77777777" w:rsidR="000D04B5" w:rsidRPr="00B16609" w:rsidRDefault="00D039BE">
      <w:pPr>
        <w:ind w:left="-8" w:right="34"/>
        <w:rPr>
          <w:rFonts w:ascii="Arial" w:hAnsi="Arial" w:cs="Arial"/>
        </w:rPr>
      </w:pPr>
      <w:r w:rsidRPr="00B16609">
        <w:rPr>
          <w:rFonts w:ascii="Arial" w:hAnsi="Arial" w:cs="Arial"/>
          <w:b/>
        </w:rPr>
        <w:t xml:space="preserve">Artículo 136 BIS.- </w:t>
      </w:r>
      <w:r w:rsidRPr="00B16609">
        <w:rPr>
          <w:rFonts w:ascii="Arial" w:hAnsi="Arial" w:cs="Arial"/>
        </w:rPr>
        <w:t xml:space="preserve">Los servidores públicos municipales que desempeñen cargos de director o titular de una dependencia o entidad municipal están obligados a certificarse en los conocimientos, habilidades, destrezas y actitudes requeridas para el desarrollo de sus funciones en el área que le corresponda en la administración pública municipal, con base en el Sistema Nacional de Competencias. </w:t>
      </w:r>
    </w:p>
    <w:p w14:paraId="4013DB39"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54CDDECA" w14:textId="77777777" w:rsidR="000D04B5" w:rsidRPr="00B16609" w:rsidRDefault="00D039BE">
      <w:pPr>
        <w:ind w:left="-8" w:right="34"/>
        <w:rPr>
          <w:rFonts w:ascii="Arial" w:hAnsi="Arial" w:cs="Arial"/>
        </w:rPr>
      </w:pPr>
      <w:r w:rsidRPr="00B16609">
        <w:rPr>
          <w:rFonts w:ascii="Arial" w:hAnsi="Arial" w:cs="Arial"/>
        </w:rPr>
        <w:t xml:space="preserve">Los servidores públicos señalados tendrán como plazo para acreditar la certificación respectiva tres meses contados desde el comienzo de su encargo. </w:t>
      </w:r>
    </w:p>
    <w:p w14:paraId="78E8D75A"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179A8E16" w14:textId="77777777" w:rsidR="000D04B5" w:rsidRPr="00B16609" w:rsidRDefault="00D039BE">
      <w:pPr>
        <w:ind w:left="-8" w:right="34"/>
        <w:rPr>
          <w:rFonts w:ascii="Arial" w:hAnsi="Arial" w:cs="Arial"/>
        </w:rPr>
      </w:pPr>
      <w:r w:rsidRPr="00B16609">
        <w:rPr>
          <w:rFonts w:ascii="Arial" w:hAnsi="Arial" w:cs="Arial"/>
        </w:rPr>
        <w:t xml:space="preserve">En caso de sustituciones de los servidores públicos municipales antes señalados, los nuevos funcionarios que se incorporen tendrán el mismo plazo de tres meses, contados a partir de la fecha en que asuman el cargo, para acreditar su respectiva certificación. </w:t>
      </w:r>
    </w:p>
    <w:p w14:paraId="1F49952C"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64EC6EC8" w14:textId="77777777" w:rsidR="000D04B5" w:rsidRPr="00B16609" w:rsidRDefault="00D039BE">
      <w:pPr>
        <w:ind w:left="-8" w:right="34"/>
        <w:rPr>
          <w:rFonts w:ascii="Arial" w:hAnsi="Arial" w:cs="Arial"/>
        </w:rPr>
      </w:pPr>
      <w:r w:rsidRPr="00B16609">
        <w:rPr>
          <w:rFonts w:ascii="Arial" w:hAnsi="Arial" w:cs="Arial"/>
          <w:b/>
        </w:rPr>
        <w:t xml:space="preserve">Artículo 136 TER.- </w:t>
      </w:r>
      <w:r w:rsidRPr="00B16609">
        <w:rPr>
          <w:rFonts w:ascii="Arial" w:hAnsi="Arial" w:cs="Arial"/>
        </w:rPr>
        <w:t xml:space="preserve">Los Ayuntamientos celebrarán convenios de colaboración con la Secretaría de Educación y con el Instituto de Desarrollo Regional y Municipal del Gobierno del Estado, de conformidad con lo establecido en el Capítulo VI del presente Titulo, tendientes a la certificación de sus funcionarios en el ramo o función a desempeñar, a través de las instituciones de capacitación reconocidas por el Sistema Nacional de Competencias. </w:t>
      </w:r>
    </w:p>
    <w:p w14:paraId="5D62D887"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3419A622" w14:textId="77777777" w:rsidR="000D04B5" w:rsidRPr="00B16609" w:rsidRDefault="00D039BE">
      <w:pPr>
        <w:ind w:left="-8" w:right="34"/>
        <w:rPr>
          <w:rFonts w:ascii="Arial" w:hAnsi="Arial" w:cs="Arial"/>
        </w:rPr>
      </w:pPr>
      <w:r w:rsidRPr="00B16609">
        <w:rPr>
          <w:rFonts w:ascii="Arial" w:hAnsi="Arial" w:cs="Arial"/>
          <w:b/>
        </w:rPr>
        <w:t xml:space="preserve">Artículo 136 QUATER.- </w:t>
      </w:r>
      <w:r w:rsidRPr="00B16609">
        <w:rPr>
          <w:rFonts w:ascii="Arial" w:hAnsi="Arial" w:cs="Arial"/>
        </w:rPr>
        <w:t xml:space="preserve">Cada Ayuntamiento será responsable de llevar un Registro de Servidores Públicos Municipales Certificados, mismo que se deberá publicar en la Gaceta Oficial Municipal respectiva. </w:t>
      </w:r>
    </w:p>
    <w:p w14:paraId="57074031"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4C366979" w14:textId="77777777" w:rsidR="000D04B5" w:rsidRPr="00B16609" w:rsidRDefault="00D039BE">
      <w:pPr>
        <w:ind w:left="-8" w:right="34"/>
        <w:rPr>
          <w:rFonts w:ascii="Arial" w:hAnsi="Arial" w:cs="Arial"/>
        </w:rPr>
      </w:pPr>
      <w:r w:rsidRPr="00B16609">
        <w:rPr>
          <w:rFonts w:ascii="Arial" w:hAnsi="Arial" w:cs="Arial"/>
        </w:rPr>
        <w:t xml:space="preserve">Los Ayuntamientos deberán actualizar el Registro de Servidores Públicos Municipales Certificados y publicarlo cuando se presente algún cambio de un director o titular de dependencia o entidad municipal. </w:t>
      </w:r>
    </w:p>
    <w:p w14:paraId="5E792058"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67DAC48E" w14:textId="77777777" w:rsidR="000D04B5" w:rsidRPr="00B16609" w:rsidRDefault="00D039BE">
      <w:pPr>
        <w:ind w:left="-8" w:right="34"/>
        <w:rPr>
          <w:rFonts w:ascii="Arial" w:hAnsi="Arial" w:cs="Arial"/>
        </w:rPr>
      </w:pPr>
      <w:r w:rsidRPr="00B16609">
        <w:rPr>
          <w:rFonts w:ascii="Arial" w:hAnsi="Arial" w:cs="Arial"/>
        </w:rPr>
        <w:t xml:space="preserve">El Registro de Servidores Públicos Municipales Certificados deberá contar al menos con la siguiente información: </w:t>
      </w:r>
    </w:p>
    <w:p w14:paraId="4EB36DB3"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54845E5E" w14:textId="77777777" w:rsidR="000D04B5" w:rsidRPr="00B16609" w:rsidRDefault="00D039BE">
      <w:pPr>
        <w:numPr>
          <w:ilvl w:val="0"/>
          <w:numId w:val="10"/>
        </w:numPr>
        <w:spacing w:after="188"/>
        <w:ind w:right="34" w:hanging="616"/>
        <w:rPr>
          <w:rFonts w:ascii="Arial" w:hAnsi="Arial" w:cs="Arial"/>
        </w:rPr>
      </w:pPr>
      <w:r w:rsidRPr="00B16609">
        <w:rPr>
          <w:rFonts w:ascii="Arial" w:hAnsi="Arial" w:cs="Arial"/>
        </w:rPr>
        <w:t xml:space="preserve">Nombre completo del servidor público; </w:t>
      </w:r>
    </w:p>
    <w:p w14:paraId="75251D07" w14:textId="77777777" w:rsidR="000D04B5" w:rsidRPr="00B16609" w:rsidRDefault="00D039BE">
      <w:pPr>
        <w:numPr>
          <w:ilvl w:val="0"/>
          <w:numId w:val="10"/>
        </w:numPr>
        <w:spacing w:after="184"/>
        <w:ind w:right="34" w:hanging="616"/>
        <w:rPr>
          <w:rFonts w:ascii="Arial" w:hAnsi="Arial" w:cs="Arial"/>
        </w:rPr>
      </w:pPr>
      <w:r w:rsidRPr="00B16609">
        <w:rPr>
          <w:rFonts w:ascii="Arial" w:hAnsi="Arial" w:cs="Arial"/>
        </w:rPr>
        <w:t xml:space="preserve">Puesto; </w:t>
      </w:r>
    </w:p>
    <w:p w14:paraId="2BD7906D" w14:textId="77777777" w:rsidR="000D04B5" w:rsidRPr="00B16609" w:rsidRDefault="00D039BE">
      <w:pPr>
        <w:numPr>
          <w:ilvl w:val="0"/>
          <w:numId w:val="10"/>
        </w:numPr>
        <w:spacing w:after="192"/>
        <w:ind w:right="34" w:hanging="616"/>
        <w:rPr>
          <w:rFonts w:ascii="Arial" w:hAnsi="Arial" w:cs="Arial"/>
        </w:rPr>
      </w:pPr>
      <w:r w:rsidRPr="00B16609">
        <w:rPr>
          <w:rFonts w:ascii="Arial" w:hAnsi="Arial" w:cs="Arial"/>
        </w:rPr>
        <w:t xml:space="preserve">Registro o número de identificación de la certificación obtenida del Sistema Nacional de Competencias; </w:t>
      </w:r>
    </w:p>
    <w:p w14:paraId="07CC7B3F" w14:textId="77777777" w:rsidR="000D04B5" w:rsidRPr="00B16609" w:rsidRDefault="00D039BE">
      <w:pPr>
        <w:numPr>
          <w:ilvl w:val="0"/>
          <w:numId w:val="10"/>
        </w:numPr>
        <w:spacing w:line="405" w:lineRule="auto"/>
        <w:ind w:right="34" w:hanging="616"/>
        <w:rPr>
          <w:rFonts w:ascii="Arial" w:hAnsi="Arial" w:cs="Arial"/>
        </w:rPr>
      </w:pPr>
      <w:r w:rsidRPr="00B16609">
        <w:rPr>
          <w:rFonts w:ascii="Arial" w:hAnsi="Arial" w:cs="Arial"/>
        </w:rPr>
        <w:t>Nombre del conocimiento o de la habilidad certificada; V.</w:t>
      </w:r>
      <w:r w:rsidRPr="00B16609">
        <w:rPr>
          <w:rFonts w:ascii="Arial" w:eastAsia="Arial" w:hAnsi="Arial" w:cs="Arial"/>
        </w:rPr>
        <w:t xml:space="preserve"> </w:t>
      </w:r>
      <w:r w:rsidRPr="00B16609">
        <w:rPr>
          <w:rFonts w:ascii="Arial" w:eastAsia="Arial" w:hAnsi="Arial" w:cs="Arial"/>
        </w:rPr>
        <w:tab/>
      </w:r>
      <w:r w:rsidRPr="00B16609">
        <w:rPr>
          <w:rFonts w:ascii="Arial" w:hAnsi="Arial" w:cs="Arial"/>
        </w:rPr>
        <w:t xml:space="preserve">Nombre de la entidad de certificación, y </w:t>
      </w:r>
    </w:p>
    <w:p w14:paraId="4AA0C49A" w14:textId="77777777" w:rsidR="000D04B5" w:rsidRPr="00B16609" w:rsidRDefault="00D039BE">
      <w:pPr>
        <w:tabs>
          <w:tab w:val="center" w:pos="2581"/>
        </w:tabs>
        <w:ind w:left="0" w:right="0" w:firstLine="0"/>
        <w:jc w:val="left"/>
        <w:rPr>
          <w:rFonts w:ascii="Arial" w:hAnsi="Arial" w:cs="Arial"/>
        </w:rPr>
      </w:pPr>
      <w:r w:rsidRPr="00B16609">
        <w:rPr>
          <w:rFonts w:ascii="Arial" w:hAnsi="Arial" w:cs="Arial"/>
        </w:rPr>
        <w:t>VI.</w:t>
      </w:r>
      <w:r w:rsidRPr="00B16609">
        <w:rPr>
          <w:rFonts w:ascii="Arial" w:eastAsia="Arial" w:hAnsi="Arial" w:cs="Arial"/>
        </w:rPr>
        <w:t xml:space="preserve"> </w:t>
      </w:r>
      <w:r w:rsidRPr="00B16609">
        <w:rPr>
          <w:rFonts w:ascii="Arial" w:eastAsia="Arial" w:hAnsi="Arial" w:cs="Arial"/>
        </w:rPr>
        <w:tab/>
      </w:r>
      <w:r w:rsidRPr="00B16609">
        <w:rPr>
          <w:rFonts w:ascii="Arial" w:hAnsi="Arial" w:cs="Arial"/>
        </w:rPr>
        <w:t xml:space="preserve">Fecha de expedición del certificado. </w:t>
      </w:r>
    </w:p>
    <w:p w14:paraId="14A321F0"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5159AD6F" w14:textId="77777777" w:rsidR="000D04B5" w:rsidRPr="00B16609" w:rsidRDefault="00D039BE">
      <w:pPr>
        <w:ind w:left="-8" w:right="34"/>
        <w:rPr>
          <w:rFonts w:ascii="Arial" w:hAnsi="Arial" w:cs="Arial"/>
        </w:rPr>
      </w:pPr>
      <w:r w:rsidRPr="00B16609">
        <w:rPr>
          <w:rFonts w:ascii="Arial" w:hAnsi="Arial" w:cs="Arial"/>
        </w:rPr>
        <w:t xml:space="preserve">Si un mismo funcionario cuenta con diversas certificaciones deberá consignarse en el registro de igual manera. </w:t>
      </w:r>
    </w:p>
    <w:p w14:paraId="785F4C78"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7B058CEE" w14:textId="77777777" w:rsidR="000D04B5" w:rsidRPr="00B16609" w:rsidRDefault="00D039BE">
      <w:pPr>
        <w:ind w:left="-8" w:right="34"/>
        <w:rPr>
          <w:rFonts w:ascii="Arial" w:hAnsi="Arial" w:cs="Arial"/>
        </w:rPr>
      </w:pPr>
      <w:r w:rsidRPr="00B16609">
        <w:rPr>
          <w:rFonts w:ascii="Arial" w:hAnsi="Arial" w:cs="Arial"/>
          <w:b/>
        </w:rPr>
        <w:t xml:space="preserve">Artículo 136 QUINQUIES.- </w:t>
      </w:r>
      <w:r w:rsidRPr="00B16609">
        <w:rPr>
          <w:rFonts w:ascii="Arial" w:hAnsi="Arial" w:cs="Arial"/>
        </w:rPr>
        <w:t xml:space="preserve">El incumplimiento de la obligación señalada en este capítulo será objeto de responsabilidad administrativa para los funcionarios respectivos. </w:t>
      </w:r>
    </w:p>
    <w:p w14:paraId="642E04D5" w14:textId="77777777" w:rsidR="002D3A43" w:rsidRPr="00B16609" w:rsidRDefault="002D3A43">
      <w:pPr>
        <w:ind w:left="-8" w:right="34"/>
        <w:rPr>
          <w:rFonts w:ascii="Arial" w:hAnsi="Arial" w:cs="Arial"/>
        </w:rPr>
      </w:pPr>
    </w:p>
    <w:tbl>
      <w:tblPr>
        <w:tblStyle w:val="TableGrid"/>
        <w:tblW w:w="8837" w:type="dxa"/>
        <w:tblInd w:w="0" w:type="dxa"/>
        <w:tblLook w:val="04A0" w:firstRow="1" w:lastRow="0" w:firstColumn="1" w:lastColumn="0" w:noHBand="0" w:noVBand="1"/>
      </w:tblPr>
      <w:tblGrid>
        <w:gridCol w:w="8837"/>
      </w:tblGrid>
      <w:tr w:rsidR="000D04B5" w:rsidRPr="00B16609" w14:paraId="559C5DF9" w14:textId="77777777" w:rsidTr="000915E6">
        <w:trPr>
          <w:trHeight w:val="293"/>
        </w:trPr>
        <w:tc>
          <w:tcPr>
            <w:tcW w:w="8837" w:type="dxa"/>
            <w:tcBorders>
              <w:top w:val="nil"/>
              <w:left w:val="nil"/>
              <w:bottom w:val="nil"/>
              <w:right w:val="nil"/>
            </w:tcBorders>
            <w:shd w:val="clear" w:color="auto" w:fill="auto"/>
          </w:tcPr>
          <w:p w14:paraId="1EFC7189" w14:textId="0A86A826" w:rsidR="000D04B5" w:rsidRPr="00B16609" w:rsidRDefault="00D039BE">
            <w:pPr>
              <w:spacing w:after="0" w:line="259" w:lineRule="auto"/>
              <w:ind w:left="0" w:right="-1" w:firstLine="0"/>
              <w:rPr>
                <w:rFonts w:ascii="Arial" w:hAnsi="Arial" w:cs="Arial"/>
              </w:rPr>
            </w:pPr>
            <w:r w:rsidRPr="00B16609">
              <w:rPr>
                <w:rFonts w:ascii="Arial" w:hAnsi="Arial" w:cs="Arial"/>
                <w:b/>
              </w:rPr>
              <w:t>ARTÍCULO SEGUNDO.-</w:t>
            </w:r>
            <w:r w:rsidRPr="00B16609">
              <w:rPr>
                <w:rFonts w:ascii="Arial" w:hAnsi="Arial" w:cs="Arial"/>
              </w:rPr>
              <w:t xml:space="preserve"> Se adiciona la fracción XIX Bis al artículo 75 Quáter de la Ley </w:t>
            </w:r>
            <w:r w:rsidR="00F422EC" w:rsidRPr="00B16609">
              <w:rPr>
                <w:rFonts w:ascii="Arial" w:hAnsi="Arial" w:cs="Arial"/>
              </w:rPr>
              <w:t>de Gobierno del Poder Legislativo del Estado de Yucatán, para quedar como sigue:</w:t>
            </w:r>
          </w:p>
        </w:tc>
      </w:tr>
    </w:tbl>
    <w:p w14:paraId="77937C15"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10F44B91" w14:textId="77777777" w:rsidR="000915E6" w:rsidRPr="00B16609" w:rsidRDefault="000915E6" w:rsidP="000915E6">
      <w:pPr>
        <w:ind w:left="0" w:firstLine="0"/>
        <w:rPr>
          <w:rFonts w:ascii="Arial" w:hAnsi="Arial" w:cs="Arial"/>
        </w:rPr>
      </w:pPr>
      <w:r w:rsidRPr="00B16609">
        <w:rPr>
          <w:rFonts w:ascii="Arial" w:hAnsi="Arial" w:cs="Arial"/>
        </w:rPr>
        <w:t xml:space="preserve">Artículo 75 Quáter.- La Contraloría Interna, tendrá las siguientes funciones: </w:t>
      </w:r>
    </w:p>
    <w:p w14:paraId="0703C6A2" w14:textId="77777777" w:rsidR="000915E6" w:rsidRPr="00B16609" w:rsidRDefault="000915E6" w:rsidP="000915E6">
      <w:pPr>
        <w:ind w:left="0" w:firstLine="0"/>
        <w:rPr>
          <w:rFonts w:ascii="Arial" w:hAnsi="Arial" w:cs="Arial"/>
        </w:rPr>
      </w:pPr>
      <w:r w:rsidRPr="00B16609">
        <w:rPr>
          <w:rFonts w:ascii="Arial" w:hAnsi="Arial" w:cs="Arial"/>
        </w:rPr>
        <w:t xml:space="preserve"> </w:t>
      </w:r>
    </w:p>
    <w:p w14:paraId="36E7D6DF" w14:textId="6F5FB92B" w:rsidR="000915E6" w:rsidRPr="00B16609" w:rsidRDefault="000915E6" w:rsidP="000915E6">
      <w:pPr>
        <w:ind w:left="0" w:firstLine="0"/>
        <w:rPr>
          <w:rFonts w:ascii="Arial" w:hAnsi="Arial" w:cs="Arial"/>
        </w:rPr>
      </w:pPr>
      <w:r w:rsidRPr="00B16609">
        <w:rPr>
          <w:rFonts w:ascii="Arial" w:hAnsi="Arial" w:cs="Arial"/>
        </w:rPr>
        <w:t xml:space="preserve">I al XIX. … </w:t>
      </w:r>
    </w:p>
    <w:p w14:paraId="464F9524" w14:textId="77777777" w:rsidR="000915E6" w:rsidRPr="00B16609" w:rsidRDefault="000915E6" w:rsidP="000915E6">
      <w:pPr>
        <w:ind w:left="0" w:firstLine="0"/>
        <w:rPr>
          <w:rFonts w:ascii="Arial" w:hAnsi="Arial" w:cs="Arial"/>
        </w:rPr>
      </w:pPr>
    </w:p>
    <w:p w14:paraId="76195CEB" w14:textId="5BB10093" w:rsidR="000915E6" w:rsidRPr="00B16609" w:rsidRDefault="000915E6" w:rsidP="000915E6">
      <w:pPr>
        <w:ind w:left="0" w:firstLine="0"/>
        <w:rPr>
          <w:rFonts w:ascii="Arial" w:hAnsi="Arial" w:cs="Arial"/>
        </w:rPr>
      </w:pPr>
      <w:r w:rsidRPr="00B16609">
        <w:rPr>
          <w:rFonts w:ascii="Arial" w:hAnsi="Arial" w:cs="Arial"/>
        </w:rPr>
        <w:t>XIX Bis.- Crear, actualizar y administrar el registro de asesores municipales, de conformidad con lo que establece el Titulo II; Capitulo II, secciones segunda y tercera de la Ley de Gobierno de los Municipios del estado de Yucatán.</w:t>
      </w:r>
    </w:p>
    <w:p w14:paraId="772AEE51" w14:textId="77777777" w:rsidR="000915E6" w:rsidRPr="00B16609" w:rsidRDefault="000915E6" w:rsidP="000915E6">
      <w:pPr>
        <w:ind w:left="0" w:firstLine="0"/>
        <w:rPr>
          <w:rFonts w:ascii="Arial" w:hAnsi="Arial" w:cs="Arial"/>
        </w:rPr>
      </w:pPr>
      <w:r w:rsidRPr="00B16609">
        <w:rPr>
          <w:rFonts w:ascii="Arial" w:hAnsi="Arial" w:cs="Arial"/>
        </w:rPr>
        <w:t xml:space="preserve"> </w:t>
      </w:r>
    </w:p>
    <w:p w14:paraId="4E3EC24D" w14:textId="77777777" w:rsidR="000915E6" w:rsidRPr="00B16609" w:rsidRDefault="000915E6" w:rsidP="000915E6">
      <w:pPr>
        <w:ind w:left="0" w:firstLine="0"/>
        <w:rPr>
          <w:rFonts w:ascii="Arial" w:hAnsi="Arial" w:cs="Arial"/>
        </w:rPr>
      </w:pPr>
      <w:r w:rsidRPr="00B16609">
        <w:rPr>
          <w:rFonts w:ascii="Arial" w:hAnsi="Arial" w:cs="Arial"/>
        </w:rPr>
        <w:t xml:space="preserve"> </w:t>
      </w:r>
    </w:p>
    <w:p w14:paraId="58B0D592" w14:textId="77777777" w:rsidR="000915E6" w:rsidRPr="00B16609" w:rsidRDefault="000915E6" w:rsidP="000915E6">
      <w:pPr>
        <w:ind w:left="0" w:firstLine="0"/>
        <w:rPr>
          <w:rFonts w:ascii="Arial" w:hAnsi="Arial" w:cs="Arial"/>
        </w:rPr>
      </w:pPr>
      <w:r w:rsidRPr="00B16609">
        <w:rPr>
          <w:rFonts w:ascii="Arial" w:hAnsi="Arial" w:cs="Arial"/>
        </w:rPr>
        <w:t xml:space="preserve">XX a XXII.- … </w:t>
      </w:r>
    </w:p>
    <w:p w14:paraId="72C6F90C"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37250DDE" w14:textId="77777777" w:rsidR="00202B1C" w:rsidRDefault="00202B1C">
      <w:pPr>
        <w:pStyle w:val="Ttulo1"/>
        <w:ind w:right="49"/>
        <w:rPr>
          <w:rFonts w:ascii="Arial" w:hAnsi="Arial" w:cs="Arial"/>
        </w:rPr>
      </w:pPr>
    </w:p>
    <w:p w14:paraId="564D2B75" w14:textId="77777777" w:rsidR="000D04B5" w:rsidRPr="00B16609" w:rsidRDefault="00D039BE">
      <w:pPr>
        <w:pStyle w:val="Ttulo1"/>
        <w:ind w:right="49"/>
        <w:rPr>
          <w:rFonts w:ascii="Arial" w:hAnsi="Arial" w:cs="Arial"/>
        </w:rPr>
      </w:pPr>
      <w:r w:rsidRPr="00B16609">
        <w:rPr>
          <w:rFonts w:ascii="Arial" w:hAnsi="Arial" w:cs="Arial"/>
        </w:rPr>
        <w:t xml:space="preserve">TRANSITORIOS </w:t>
      </w:r>
    </w:p>
    <w:p w14:paraId="2391D8D7" w14:textId="77777777" w:rsidR="00202B1C" w:rsidRDefault="00202B1C">
      <w:pPr>
        <w:spacing w:after="0" w:line="259" w:lineRule="auto"/>
        <w:ind w:left="0" w:right="0" w:firstLine="0"/>
        <w:jc w:val="left"/>
        <w:rPr>
          <w:rFonts w:ascii="Arial" w:hAnsi="Arial" w:cs="Arial"/>
        </w:rPr>
      </w:pPr>
    </w:p>
    <w:p w14:paraId="69890922"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49305131" w14:textId="77777777" w:rsidR="000D04B5" w:rsidRPr="00B16609" w:rsidRDefault="00D039BE">
      <w:pPr>
        <w:ind w:left="-8" w:right="34"/>
        <w:rPr>
          <w:rFonts w:ascii="Arial" w:hAnsi="Arial" w:cs="Arial"/>
        </w:rPr>
      </w:pPr>
      <w:r w:rsidRPr="00B16609">
        <w:rPr>
          <w:rFonts w:ascii="Arial" w:hAnsi="Arial" w:cs="Arial"/>
          <w:b/>
        </w:rPr>
        <w:t xml:space="preserve">PRIMERO.- </w:t>
      </w:r>
      <w:r w:rsidRPr="00B16609">
        <w:rPr>
          <w:rFonts w:ascii="Arial" w:hAnsi="Arial" w:cs="Arial"/>
        </w:rPr>
        <w:t>Lo dispuesto en el presente Decreto entrará en vigor al día siguiente de su publicación en el Diario Oficial del Gobierno del Estado.</w:t>
      </w:r>
      <w:r w:rsidRPr="00B16609">
        <w:rPr>
          <w:rFonts w:ascii="Arial" w:hAnsi="Arial" w:cs="Arial"/>
          <w:b/>
        </w:rPr>
        <w:t xml:space="preserve"> </w:t>
      </w:r>
    </w:p>
    <w:p w14:paraId="5DA79798"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b/>
        </w:rPr>
        <w:t xml:space="preserve"> </w:t>
      </w:r>
    </w:p>
    <w:p w14:paraId="016F9769" w14:textId="77777777" w:rsidR="000D04B5" w:rsidRPr="00B16609" w:rsidRDefault="00D039BE">
      <w:pPr>
        <w:ind w:left="-8" w:right="34"/>
        <w:rPr>
          <w:rFonts w:ascii="Arial" w:hAnsi="Arial" w:cs="Arial"/>
        </w:rPr>
      </w:pPr>
      <w:r w:rsidRPr="00B16609">
        <w:rPr>
          <w:rFonts w:ascii="Arial" w:hAnsi="Arial" w:cs="Arial"/>
          <w:b/>
        </w:rPr>
        <w:t xml:space="preserve">SEGUNDO.- </w:t>
      </w:r>
      <w:r w:rsidRPr="00B16609">
        <w:rPr>
          <w:rFonts w:ascii="Arial" w:hAnsi="Arial" w:cs="Arial"/>
        </w:rPr>
        <w:t xml:space="preserve">Lo dispuesto en los artículos reformados 25 y 29 Z-28 relativos a la transición y a la Entrega-Recepción será obligatorio a partir de la siguiente renovación constitucional de los Ayuntamientos, en 2027. </w:t>
      </w:r>
    </w:p>
    <w:p w14:paraId="31104DEB"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b/>
        </w:rPr>
        <w:t xml:space="preserve"> </w:t>
      </w:r>
    </w:p>
    <w:p w14:paraId="598A01BE" w14:textId="77777777" w:rsidR="000D04B5" w:rsidRPr="00B16609" w:rsidRDefault="00D039BE">
      <w:pPr>
        <w:ind w:left="-8" w:right="34"/>
        <w:rPr>
          <w:rFonts w:ascii="Arial" w:hAnsi="Arial" w:cs="Arial"/>
        </w:rPr>
      </w:pPr>
      <w:r w:rsidRPr="00B16609">
        <w:rPr>
          <w:rFonts w:ascii="Arial" w:hAnsi="Arial" w:cs="Arial"/>
          <w:b/>
        </w:rPr>
        <w:t xml:space="preserve">TERCERO.- </w:t>
      </w:r>
      <w:r w:rsidRPr="00B16609">
        <w:rPr>
          <w:rFonts w:ascii="Arial" w:hAnsi="Arial" w:cs="Arial"/>
        </w:rPr>
        <w:t xml:space="preserve">Lo dispuesto en los artículos 56 fracción XI Bis y 71 Ter fracciones X y XI con relación al registro de asesores municipales será obligatorio para los Ayuntamientos y los prestadores de servicio a partir de 2026. </w:t>
      </w:r>
    </w:p>
    <w:p w14:paraId="1E71C568"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b/>
        </w:rPr>
        <w:t xml:space="preserve"> </w:t>
      </w:r>
    </w:p>
    <w:p w14:paraId="0DAEEDD1" w14:textId="77777777" w:rsidR="000D04B5" w:rsidRPr="00B16609" w:rsidRDefault="00D039BE">
      <w:pPr>
        <w:ind w:left="-8" w:right="34"/>
        <w:rPr>
          <w:rFonts w:ascii="Arial" w:hAnsi="Arial" w:cs="Arial"/>
        </w:rPr>
      </w:pPr>
      <w:r w:rsidRPr="00B16609">
        <w:rPr>
          <w:rFonts w:ascii="Arial" w:hAnsi="Arial" w:cs="Arial"/>
          <w:b/>
        </w:rPr>
        <w:t xml:space="preserve">CUARTO.- </w:t>
      </w:r>
      <w:r w:rsidRPr="00B16609">
        <w:rPr>
          <w:rFonts w:ascii="Arial" w:hAnsi="Arial" w:cs="Arial"/>
        </w:rPr>
        <w:t xml:space="preserve">Todo lo relativo a la profesionalización y certificación de funcionarios públicos municipales señalado en los artículos reformados 41, 58, 86, 136 Bis, 136 Ter, 136 Quáter y 136 Quinquies serán exigibles a partir de la siguiente renovación constitucional de los Ayuntamientos, en 2027. </w:t>
      </w:r>
    </w:p>
    <w:p w14:paraId="0AE625E6"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b/>
        </w:rPr>
        <w:t xml:space="preserve"> </w:t>
      </w:r>
    </w:p>
    <w:p w14:paraId="3A489A28" w14:textId="77777777" w:rsidR="000D04B5" w:rsidRPr="00B16609" w:rsidRDefault="00D039BE">
      <w:pPr>
        <w:ind w:left="-8" w:right="34"/>
        <w:rPr>
          <w:rFonts w:ascii="Arial" w:hAnsi="Arial" w:cs="Arial"/>
        </w:rPr>
      </w:pPr>
      <w:r w:rsidRPr="00B16609">
        <w:rPr>
          <w:rFonts w:ascii="Arial" w:hAnsi="Arial" w:cs="Arial"/>
          <w:b/>
        </w:rPr>
        <w:t xml:space="preserve">QUINTO.- </w:t>
      </w:r>
      <w:r w:rsidRPr="00B16609">
        <w:rPr>
          <w:rFonts w:ascii="Arial" w:hAnsi="Arial" w:cs="Arial"/>
        </w:rPr>
        <w:t xml:space="preserve">Respecto a las reformas sobre las Gacetas Municipales contenidas en el artículo 79 reformado será obligatorio a partir de 2026. </w:t>
      </w:r>
    </w:p>
    <w:p w14:paraId="0E4ED3D1"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rPr>
        <w:t xml:space="preserve"> </w:t>
      </w:r>
    </w:p>
    <w:p w14:paraId="01209FE5" w14:textId="008023A5" w:rsidR="000D04B5" w:rsidRPr="00B16609" w:rsidRDefault="00D039BE">
      <w:pPr>
        <w:spacing w:after="11" w:line="249" w:lineRule="auto"/>
        <w:ind w:left="10" w:right="0" w:hanging="10"/>
        <w:jc w:val="left"/>
        <w:rPr>
          <w:rFonts w:ascii="Arial" w:hAnsi="Arial" w:cs="Arial"/>
        </w:rPr>
      </w:pPr>
      <w:r w:rsidRPr="00B16609">
        <w:rPr>
          <w:rFonts w:ascii="Arial" w:eastAsia="Arial" w:hAnsi="Arial" w:cs="Arial"/>
          <w:b/>
        </w:rPr>
        <w:t>Se protesta lo necesario en la Ciudad de Mé</w:t>
      </w:r>
      <w:r w:rsidR="008E2470" w:rsidRPr="00B16609">
        <w:rPr>
          <w:rFonts w:ascii="Arial" w:eastAsia="Arial" w:hAnsi="Arial" w:cs="Arial"/>
          <w:b/>
        </w:rPr>
        <w:t>rida, Yucatán, México a 18</w:t>
      </w:r>
      <w:r w:rsidRPr="00B16609">
        <w:rPr>
          <w:rFonts w:ascii="Arial" w:eastAsia="Arial" w:hAnsi="Arial" w:cs="Arial"/>
          <w:b/>
        </w:rPr>
        <w:t xml:space="preserve"> de septiembre de 2025. </w:t>
      </w:r>
    </w:p>
    <w:p w14:paraId="5BA2B2B0" w14:textId="77777777" w:rsidR="000D04B5" w:rsidRPr="00B16609" w:rsidRDefault="00D039BE">
      <w:pPr>
        <w:spacing w:after="0" w:line="259" w:lineRule="auto"/>
        <w:ind w:left="0" w:right="0" w:firstLine="0"/>
        <w:jc w:val="left"/>
        <w:rPr>
          <w:rFonts w:ascii="Arial" w:hAnsi="Arial" w:cs="Arial"/>
        </w:rPr>
      </w:pPr>
      <w:r w:rsidRPr="00B16609">
        <w:rPr>
          <w:rFonts w:ascii="Arial" w:hAnsi="Arial" w:cs="Arial"/>
          <w:b/>
        </w:rPr>
        <w:t xml:space="preserve"> </w:t>
      </w:r>
    </w:p>
    <w:p w14:paraId="0BADE102" w14:textId="77777777" w:rsidR="000D04B5" w:rsidRPr="00B16609" w:rsidRDefault="00D039BE">
      <w:pPr>
        <w:spacing w:after="0" w:line="259" w:lineRule="auto"/>
        <w:ind w:left="0" w:right="0" w:firstLine="0"/>
        <w:jc w:val="left"/>
        <w:rPr>
          <w:rFonts w:ascii="Arial" w:hAnsi="Arial" w:cs="Arial"/>
          <w:b/>
        </w:rPr>
      </w:pPr>
      <w:r w:rsidRPr="00B16609">
        <w:rPr>
          <w:rFonts w:ascii="Arial" w:hAnsi="Arial" w:cs="Arial"/>
          <w:b/>
        </w:rPr>
        <w:t xml:space="preserve"> </w:t>
      </w:r>
    </w:p>
    <w:p w14:paraId="689F8874" w14:textId="77777777" w:rsidR="008E2470" w:rsidRPr="00B16609" w:rsidRDefault="008E2470">
      <w:pPr>
        <w:spacing w:after="0" w:line="259" w:lineRule="auto"/>
        <w:ind w:left="0" w:right="0" w:firstLine="0"/>
        <w:jc w:val="left"/>
        <w:rPr>
          <w:rFonts w:ascii="Arial" w:hAnsi="Arial" w:cs="Arial"/>
          <w:b/>
        </w:rPr>
      </w:pPr>
    </w:p>
    <w:p w14:paraId="4889CD61" w14:textId="77777777" w:rsidR="000D04B5" w:rsidRDefault="00D039BE">
      <w:pPr>
        <w:spacing w:after="14" w:line="259" w:lineRule="auto"/>
        <w:ind w:left="110" w:right="0" w:firstLine="0"/>
        <w:jc w:val="left"/>
        <w:rPr>
          <w:rFonts w:ascii="Arial" w:eastAsia="Arial" w:hAnsi="Arial" w:cs="Arial"/>
          <w:b/>
        </w:rPr>
      </w:pPr>
      <w:r w:rsidRPr="00B16609">
        <w:rPr>
          <w:rFonts w:ascii="Arial" w:eastAsia="Arial" w:hAnsi="Arial" w:cs="Arial"/>
          <w:b/>
        </w:rPr>
        <w:t xml:space="preserve"> </w:t>
      </w:r>
    </w:p>
    <w:p w14:paraId="2D3865C1" w14:textId="77777777" w:rsidR="00202B1C" w:rsidRDefault="00202B1C">
      <w:pPr>
        <w:spacing w:after="14" w:line="259" w:lineRule="auto"/>
        <w:ind w:left="110" w:right="0" w:firstLine="0"/>
        <w:jc w:val="left"/>
        <w:rPr>
          <w:rFonts w:ascii="Arial" w:eastAsia="Arial" w:hAnsi="Arial" w:cs="Arial"/>
          <w:b/>
        </w:rPr>
      </w:pPr>
    </w:p>
    <w:p w14:paraId="67A4790C" w14:textId="77777777" w:rsidR="00202B1C" w:rsidRDefault="00202B1C">
      <w:pPr>
        <w:spacing w:after="14" w:line="259" w:lineRule="auto"/>
        <w:ind w:left="110" w:right="0" w:firstLine="0"/>
        <w:jc w:val="left"/>
        <w:rPr>
          <w:rFonts w:ascii="Arial" w:eastAsia="Arial" w:hAnsi="Arial" w:cs="Arial"/>
          <w:b/>
        </w:rPr>
      </w:pPr>
    </w:p>
    <w:p w14:paraId="2BC4BCB1" w14:textId="77777777" w:rsidR="00202B1C" w:rsidRPr="00B16609" w:rsidRDefault="00202B1C">
      <w:pPr>
        <w:spacing w:after="14" w:line="259" w:lineRule="auto"/>
        <w:ind w:left="110" w:right="0" w:firstLine="0"/>
        <w:jc w:val="left"/>
        <w:rPr>
          <w:rFonts w:ascii="Arial" w:hAnsi="Arial" w:cs="Arial"/>
        </w:rPr>
      </w:pPr>
    </w:p>
    <w:p w14:paraId="2BF7B38F" w14:textId="77777777" w:rsidR="00202B1C" w:rsidRPr="00F3036F" w:rsidRDefault="00202B1C" w:rsidP="00202B1C">
      <w:pPr>
        <w:spacing w:before="240" w:line="360" w:lineRule="auto"/>
        <w:jc w:val="center"/>
        <w:rPr>
          <w:rFonts w:ascii="Tahoma" w:hAnsi="Tahoma" w:cs="Tahoma"/>
          <w:b/>
          <w:bCs/>
        </w:rPr>
      </w:pPr>
      <w:r w:rsidRPr="00F3036F">
        <w:rPr>
          <w:rFonts w:ascii="Tahoma" w:hAnsi="Tahoma" w:cs="Tahoma"/>
          <w:b/>
          <w:bCs/>
        </w:rPr>
        <w:t>ATENTAMENTE</w:t>
      </w:r>
    </w:p>
    <w:p w14:paraId="58B02EB8" w14:textId="77777777" w:rsidR="00202B1C" w:rsidRPr="00F3036F" w:rsidRDefault="00202B1C" w:rsidP="00202B1C">
      <w:pPr>
        <w:spacing w:before="240" w:line="360" w:lineRule="auto"/>
        <w:jc w:val="center"/>
        <w:rPr>
          <w:rFonts w:ascii="Tahoma" w:hAnsi="Tahoma" w:cs="Tahoma"/>
          <w:b/>
          <w:bCs/>
        </w:rPr>
      </w:pPr>
    </w:p>
    <w:p w14:paraId="79FD2467" w14:textId="77777777" w:rsidR="00202B1C" w:rsidRPr="00F3036F" w:rsidRDefault="00202B1C" w:rsidP="00202B1C">
      <w:pPr>
        <w:autoSpaceDE w:val="0"/>
        <w:autoSpaceDN w:val="0"/>
        <w:adjustRightInd w:val="0"/>
        <w:spacing w:before="240" w:afterLines="160" w:after="384" w:line="360" w:lineRule="auto"/>
        <w:contextualSpacing/>
        <w:jc w:val="center"/>
        <w:rPr>
          <w:rFonts w:ascii="Tahoma" w:hAnsi="Tahoma" w:cs="Tahoma"/>
        </w:rPr>
      </w:pPr>
    </w:p>
    <w:p w14:paraId="7F6A8245" w14:textId="77777777" w:rsidR="00202B1C" w:rsidRPr="00F3036F" w:rsidRDefault="00202B1C" w:rsidP="00202B1C">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_____________________________________</w:t>
      </w:r>
    </w:p>
    <w:p w14:paraId="34147ED6" w14:textId="77777777" w:rsidR="00202B1C" w:rsidRPr="00F3036F" w:rsidRDefault="00202B1C" w:rsidP="00202B1C">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DIPUTADO WILMER MONFORTE MÁRFIL</w:t>
      </w:r>
    </w:p>
    <w:p w14:paraId="1152B5A1" w14:textId="77777777" w:rsidR="00202B1C" w:rsidRPr="00F3036F" w:rsidRDefault="00202B1C" w:rsidP="00202B1C">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COORDINADOR DE LA FRACCIÓN PARLAMENTARIA</w:t>
      </w:r>
    </w:p>
    <w:p w14:paraId="2D0EABD2" w14:textId="77777777" w:rsidR="00202B1C" w:rsidRDefault="00202B1C" w:rsidP="00202B1C">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 xml:space="preserve">DE MORENA </w:t>
      </w:r>
    </w:p>
    <w:p w14:paraId="26E251F6" w14:textId="77777777" w:rsidR="00202B1C" w:rsidRDefault="00202B1C" w:rsidP="00202B1C">
      <w:pPr>
        <w:autoSpaceDE w:val="0"/>
        <w:autoSpaceDN w:val="0"/>
        <w:adjustRightInd w:val="0"/>
        <w:spacing w:before="240" w:afterLines="160" w:after="384" w:line="360" w:lineRule="auto"/>
        <w:contextualSpacing/>
        <w:jc w:val="center"/>
        <w:rPr>
          <w:rFonts w:ascii="Tahoma" w:hAnsi="Tahoma" w:cs="Tahoma"/>
          <w:b/>
          <w:bCs/>
        </w:rPr>
      </w:pPr>
    </w:p>
    <w:p w14:paraId="536F0675" w14:textId="77777777" w:rsidR="00202B1C" w:rsidRDefault="00202B1C" w:rsidP="00202B1C">
      <w:pPr>
        <w:autoSpaceDE w:val="0"/>
        <w:autoSpaceDN w:val="0"/>
        <w:adjustRightInd w:val="0"/>
        <w:spacing w:before="240" w:afterLines="160" w:after="384" w:line="360" w:lineRule="auto"/>
        <w:contextualSpacing/>
        <w:jc w:val="center"/>
        <w:rPr>
          <w:rFonts w:ascii="Tahoma" w:hAnsi="Tahoma" w:cs="Tahoma"/>
          <w:b/>
          <w:bCs/>
        </w:rPr>
      </w:pPr>
    </w:p>
    <w:p w14:paraId="6557AA44" w14:textId="77777777" w:rsidR="00202B1C" w:rsidRDefault="00202B1C" w:rsidP="00202B1C">
      <w:pPr>
        <w:autoSpaceDE w:val="0"/>
        <w:autoSpaceDN w:val="0"/>
        <w:adjustRightInd w:val="0"/>
        <w:spacing w:before="240" w:afterLines="160" w:after="384" w:line="360" w:lineRule="auto"/>
        <w:contextualSpacing/>
        <w:jc w:val="center"/>
        <w:rPr>
          <w:rFonts w:ascii="Tahoma" w:hAnsi="Tahoma" w:cs="Tahoma"/>
          <w:b/>
          <w:bCs/>
        </w:rPr>
      </w:pPr>
    </w:p>
    <w:p w14:paraId="6F2BE4E4" w14:textId="77777777" w:rsidR="00202B1C" w:rsidRPr="00F3036F" w:rsidRDefault="00202B1C" w:rsidP="00202B1C">
      <w:pPr>
        <w:autoSpaceDE w:val="0"/>
        <w:autoSpaceDN w:val="0"/>
        <w:adjustRightInd w:val="0"/>
        <w:spacing w:before="240" w:afterLines="160" w:after="384" w:line="360" w:lineRule="auto"/>
        <w:contextualSpacing/>
        <w:jc w:val="center"/>
        <w:rPr>
          <w:rFonts w:ascii="Tahoma" w:hAnsi="Tahoma" w:cs="Tahoma"/>
          <w:b/>
          <w:bCs/>
        </w:rPr>
      </w:pPr>
    </w:p>
    <w:p w14:paraId="01F8F824" w14:textId="77777777" w:rsidR="00202B1C" w:rsidRPr="00F3036F" w:rsidRDefault="00202B1C" w:rsidP="00202B1C">
      <w:pPr>
        <w:autoSpaceDE w:val="0"/>
        <w:autoSpaceDN w:val="0"/>
        <w:adjustRightInd w:val="0"/>
        <w:spacing w:before="240" w:afterLines="160" w:after="384" w:line="360" w:lineRule="auto"/>
        <w:contextualSpacing/>
        <w:jc w:val="center"/>
        <w:rPr>
          <w:rFonts w:ascii="Tahoma" w:hAnsi="Tahoma" w:cs="Tahoma"/>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1"/>
        <w:gridCol w:w="4696"/>
      </w:tblGrid>
      <w:tr w:rsidR="00202B1C" w:rsidRPr="00F3036F" w14:paraId="25286C85" w14:textId="77777777" w:rsidTr="007E5FEB">
        <w:tc>
          <w:tcPr>
            <w:tcW w:w="4414" w:type="dxa"/>
          </w:tcPr>
          <w:p w14:paraId="4754338D"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044A8417"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39BA24FF" w14:textId="30C6F40B"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_________________________</w:t>
            </w:r>
          </w:p>
          <w:p w14:paraId="352A1EC8"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DIP. FRANCISCO ROSAS VILLAVICENCIO</w:t>
            </w:r>
          </w:p>
          <w:p w14:paraId="2BEBB7D3"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 xml:space="preserve">DE LA REPRESENTACIÓN LEGISLATIVA DEL PARTIDO DEL TRABAJO </w:t>
            </w:r>
          </w:p>
          <w:p w14:paraId="0CF7D2FA"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tc>
        <w:tc>
          <w:tcPr>
            <w:tcW w:w="4414" w:type="dxa"/>
          </w:tcPr>
          <w:p w14:paraId="1A657293"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40E93C42"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4EB9750F"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_____________________________</w:t>
            </w:r>
          </w:p>
          <w:p w14:paraId="3BCCAC6C"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DIP. HARRY GERARDO RODRÍGUEZ BOTELLO FIERRO</w:t>
            </w:r>
          </w:p>
          <w:p w14:paraId="35FF7B42"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 xml:space="preserve">DE LA REPRESENTACIÓN LEGISLATIVA DEL PARTIDO VERDE ECOLOGISTA DE MÉXICO </w:t>
            </w:r>
          </w:p>
        </w:tc>
      </w:tr>
    </w:tbl>
    <w:p w14:paraId="1AD7E01E" w14:textId="77777777" w:rsidR="00202B1C" w:rsidRPr="00F3036F" w:rsidRDefault="00202B1C" w:rsidP="00202B1C">
      <w:pPr>
        <w:autoSpaceDE w:val="0"/>
        <w:autoSpaceDN w:val="0"/>
        <w:adjustRightInd w:val="0"/>
        <w:spacing w:before="240" w:afterLines="160" w:after="384" w:line="360" w:lineRule="auto"/>
        <w:contextualSpacing/>
        <w:jc w:val="center"/>
        <w:rPr>
          <w:rFonts w:ascii="Tahoma" w:hAnsi="Tahoma" w:cs="Tahoma"/>
          <w:b/>
          <w:bCs/>
        </w:rPr>
      </w:pPr>
    </w:p>
    <w:p w14:paraId="66BDA268" w14:textId="77777777" w:rsidR="00202B1C" w:rsidRPr="00F3036F" w:rsidRDefault="00202B1C" w:rsidP="00202B1C">
      <w:pPr>
        <w:autoSpaceDE w:val="0"/>
        <w:autoSpaceDN w:val="0"/>
        <w:adjustRightInd w:val="0"/>
        <w:spacing w:before="240" w:afterLines="160" w:after="384" w:line="360" w:lineRule="auto"/>
        <w:contextualSpacing/>
        <w:jc w:val="center"/>
        <w:rPr>
          <w:rFonts w:ascii="Tahoma" w:hAnsi="Tahoma" w:cs="Tahoma"/>
          <w:b/>
          <w:bCs/>
        </w:rPr>
      </w:pPr>
    </w:p>
    <w:p w14:paraId="140C62E0" w14:textId="77777777" w:rsidR="00202B1C" w:rsidRPr="00F3036F" w:rsidRDefault="00202B1C" w:rsidP="00202B1C">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 xml:space="preserve">INTEGRANTES DE LA FRACCIÓN LEGISLATIVA </w:t>
      </w:r>
    </w:p>
    <w:p w14:paraId="3A39DEDA" w14:textId="77777777" w:rsidR="00202B1C" w:rsidRPr="00F3036F" w:rsidRDefault="00202B1C" w:rsidP="00202B1C">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DEL PARTIDO POLÍTICO DE MORENA</w:t>
      </w:r>
    </w:p>
    <w:p w14:paraId="592722DE" w14:textId="77777777" w:rsidR="00202B1C" w:rsidRPr="00F3036F" w:rsidRDefault="00202B1C" w:rsidP="00202B1C">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DE LA LXIV LEGISLATURA DEL HONORABLE CONGRESO</w:t>
      </w:r>
    </w:p>
    <w:p w14:paraId="4D71780A" w14:textId="77777777" w:rsidR="00202B1C" w:rsidRPr="00F3036F" w:rsidRDefault="00202B1C" w:rsidP="00202B1C">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DEL ESTADO DE YUCATÁN.</w:t>
      </w:r>
    </w:p>
    <w:p w14:paraId="1516E5DC" w14:textId="77777777" w:rsidR="00202B1C" w:rsidRPr="00F3036F" w:rsidRDefault="00202B1C" w:rsidP="00202B1C">
      <w:pPr>
        <w:autoSpaceDE w:val="0"/>
        <w:autoSpaceDN w:val="0"/>
        <w:adjustRightInd w:val="0"/>
        <w:spacing w:before="240" w:afterLines="160" w:after="384" w:line="360" w:lineRule="auto"/>
        <w:contextualSpacing/>
        <w:rPr>
          <w:rFonts w:ascii="Tahoma" w:hAnsi="Tahoma" w:cs="Tahoma"/>
        </w:rPr>
      </w:pPr>
    </w:p>
    <w:p w14:paraId="2A7CF4AD" w14:textId="77777777" w:rsidR="00202B1C" w:rsidRPr="00F3036F" w:rsidRDefault="00202B1C" w:rsidP="00202B1C">
      <w:pPr>
        <w:autoSpaceDE w:val="0"/>
        <w:autoSpaceDN w:val="0"/>
        <w:adjustRightInd w:val="0"/>
        <w:spacing w:before="240" w:afterLines="160" w:after="384" w:line="360" w:lineRule="auto"/>
        <w:contextualSpacing/>
        <w:rPr>
          <w:rFonts w:ascii="Tahoma" w:hAnsi="Tahoma" w:cs="Tahoma"/>
        </w:rPr>
      </w:pPr>
    </w:p>
    <w:p w14:paraId="16C35CD4" w14:textId="77777777" w:rsidR="00202B1C" w:rsidRPr="00F3036F" w:rsidRDefault="00202B1C" w:rsidP="00202B1C">
      <w:pPr>
        <w:autoSpaceDE w:val="0"/>
        <w:autoSpaceDN w:val="0"/>
        <w:adjustRightInd w:val="0"/>
        <w:spacing w:before="240" w:afterLines="160" w:after="384" w:line="360" w:lineRule="auto"/>
        <w:contextualSpacing/>
        <w:jc w:val="center"/>
        <w:rPr>
          <w:rFonts w:ascii="Tahoma" w:hAnsi="Tahoma" w:cs="Tahoma"/>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202B1C" w:rsidRPr="00F3036F" w14:paraId="43ED8093" w14:textId="77777777" w:rsidTr="007E5FEB">
        <w:tc>
          <w:tcPr>
            <w:tcW w:w="4414" w:type="dxa"/>
          </w:tcPr>
          <w:p w14:paraId="5FCCEB88"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5374BB4A"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4041DB87"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___________________________</w:t>
            </w:r>
          </w:p>
          <w:p w14:paraId="398F951F"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DIP. NEYDA ARACELLY PAT DZUL INTEGRANTE DE LA FRACCIÓN LEGISLATIVA DE MORENA</w:t>
            </w:r>
          </w:p>
          <w:p w14:paraId="5458A040"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tc>
        <w:tc>
          <w:tcPr>
            <w:tcW w:w="4414" w:type="dxa"/>
          </w:tcPr>
          <w:p w14:paraId="670896DB"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4F904712"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6D034C83" w14:textId="5B8D263B"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___________________________</w:t>
            </w:r>
          </w:p>
          <w:p w14:paraId="329B28AA"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 xml:space="preserve">DIP. CLAUDIA ESTEFANIA BAEZA MARTÍNEZ </w:t>
            </w:r>
          </w:p>
          <w:p w14:paraId="0573CAF7"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INTEGRANTE DE LA FRACCIÓN LEGISLATIVA DE MORENA</w:t>
            </w:r>
          </w:p>
          <w:p w14:paraId="463E2AF7"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r>
              <w:rPr>
                <w:rFonts w:ascii="Tahoma" w:hAnsi="Tahoma" w:cs="Tahoma"/>
                <w:b/>
                <w:bCs/>
              </w:rPr>
              <w:t xml:space="preserve"> </w:t>
            </w:r>
          </w:p>
          <w:p w14:paraId="5A031946"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tc>
      </w:tr>
      <w:tr w:rsidR="00202B1C" w:rsidRPr="00F3036F" w14:paraId="66033931" w14:textId="77777777" w:rsidTr="007E5FEB">
        <w:tc>
          <w:tcPr>
            <w:tcW w:w="4414" w:type="dxa"/>
          </w:tcPr>
          <w:p w14:paraId="096A61B2"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5132986B" w14:textId="77777777" w:rsidR="00202B1C"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1D0E27E6" w14:textId="77777777" w:rsidR="00202B1C"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431D7307"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5BD2B087"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3CCB14D8"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55EB683A"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___________________________</w:t>
            </w:r>
          </w:p>
          <w:p w14:paraId="430A5708"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DIP.  DANIEL ENRIQUE GONZÁLEZ QUINTAL</w:t>
            </w:r>
          </w:p>
          <w:p w14:paraId="7EB99F33"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 xml:space="preserve"> INTEGRANTE DE LA FRACCIÓN LEGISLATIVA DE MORENA</w:t>
            </w:r>
          </w:p>
          <w:p w14:paraId="321D6ACE"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tc>
        <w:tc>
          <w:tcPr>
            <w:tcW w:w="4414" w:type="dxa"/>
          </w:tcPr>
          <w:p w14:paraId="2D971D4E"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194C0338"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14243292" w14:textId="77777777" w:rsidR="00202B1C"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4BB4B97F" w14:textId="77777777" w:rsidR="00202B1C"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6F3D084A"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1373DFD8"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5F5F16BE" w14:textId="51009646"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___________________________</w:t>
            </w:r>
          </w:p>
          <w:p w14:paraId="5DF8567B"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DIP.  NAOMI RAQUEL PENICHE LÓPEZ INTEGRANTE DE LA FRACCIÓN LEGISLATIVA DE MORENA</w:t>
            </w:r>
          </w:p>
          <w:p w14:paraId="1B1A9643"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tc>
      </w:tr>
      <w:tr w:rsidR="00202B1C" w:rsidRPr="00F3036F" w14:paraId="23A2E302" w14:textId="77777777" w:rsidTr="007E5FEB">
        <w:tc>
          <w:tcPr>
            <w:tcW w:w="4414" w:type="dxa"/>
          </w:tcPr>
          <w:p w14:paraId="24B5F720"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73D656CC"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00CCB797"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48ABC97D"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015D8BA5" w14:textId="1E91EA6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___________________________</w:t>
            </w:r>
          </w:p>
          <w:p w14:paraId="7CC2DF9A"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DIP.  CLARA PAOLA ROSALES MONTIEL</w:t>
            </w:r>
          </w:p>
          <w:p w14:paraId="5B090CA8"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 xml:space="preserve"> INTEGRANTE DE LA FRACCIÓN LEGISLATIVA DE MORENA</w:t>
            </w:r>
          </w:p>
        </w:tc>
        <w:tc>
          <w:tcPr>
            <w:tcW w:w="4414" w:type="dxa"/>
          </w:tcPr>
          <w:p w14:paraId="05377C33"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3CA46AF9"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0AA8A003"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020F467F"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1F101A7B" w14:textId="5EDA2544"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___________________________</w:t>
            </w:r>
          </w:p>
          <w:p w14:paraId="47D497D5"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DIP.  JOSÉ JULIÁN BUSTILLOS MEDINA</w:t>
            </w:r>
          </w:p>
          <w:p w14:paraId="41D1AB3C"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 xml:space="preserve"> INTEGRANTE DE LA FRACCIÓN LEGISLATIVA DE MORENA</w:t>
            </w:r>
          </w:p>
        </w:tc>
      </w:tr>
      <w:tr w:rsidR="00202B1C" w:rsidRPr="00F3036F" w14:paraId="5BAA3386" w14:textId="77777777" w:rsidTr="007E5FEB">
        <w:tc>
          <w:tcPr>
            <w:tcW w:w="4414" w:type="dxa"/>
          </w:tcPr>
          <w:p w14:paraId="3AEB7EC5"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776B2A7F"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654A4FA8"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6EDED43E"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75814428"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7B20B9A0"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317E1C26" w14:textId="0393A722"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__________________________</w:t>
            </w:r>
          </w:p>
          <w:p w14:paraId="4E0A9C5F"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DIP.  BAYARDO OJEDA MARRUFO</w:t>
            </w:r>
          </w:p>
          <w:p w14:paraId="081DB5B1"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INTEGRANTE DE LA FRACCIÓN LEGISLATIVA DE MORENA</w:t>
            </w:r>
          </w:p>
        </w:tc>
        <w:tc>
          <w:tcPr>
            <w:tcW w:w="4414" w:type="dxa"/>
          </w:tcPr>
          <w:p w14:paraId="76CFFE38"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2458B005"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79656516"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41E402D0"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634CCF49"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14B908AD"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198E9091" w14:textId="71D4963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___________________________</w:t>
            </w:r>
          </w:p>
          <w:p w14:paraId="0D4CDB9A"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DIP.  SAMUEL DE JESÚS LIZAMA GASCA</w:t>
            </w:r>
          </w:p>
          <w:p w14:paraId="58915D03"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 xml:space="preserve"> INTEGRANTE DE LA FRACCIÓN LEGISLATIVA DE MORENA</w:t>
            </w:r>
          </w:p>
        </w:tc>
      </w:tr>
      <w:tr w:rsidR="00202B1C" w:rsidRPr="00F3036F" w14:paraId="03983F8F" w14:textId="77777777" w:rsidTr="007E5FEB">
        <w:tc>
          <w:tcPr>
            <w:tcW w:w="4414" w:type="dxa"/>
          </w:tcPr>
          <w:p w14:paraId="2B878A0D"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09C7DD8E"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538B5957"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23EF46C2"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2D7A4663" w14:textId="527F6D3C"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___________________________</w:t>
            </w:r>
          </w:p>
          <w:p w14:paraId="46EB0980"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DIP.  ALBA CRISTINA COB CORTÉS Integrante de la Fracción Legislativa de MORENA</w:t>
            </w:r>
          </w:p>
          <w:p w14:paraId="41D83C8E"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tc>
        <w:tc>
          <w:tcPr>
            <w:tcW w:w="4414" w:type="dxa"/>
          </w:tcPr>
          <w:p w14:paraId="1F97F140"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230ED9AD"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0BC188E2"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1AAD0113"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7A0EE780" w14:textId="7D8E853D"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___________________________</w:t>
            </w:r>
          </w:p>
          <w:p w14:paraId="28D42325"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 xml:space="preserve">DIP.  MARIO ALEJANDRO CUEVAS MENA </w:t>
            </w:r>
          </w:p>
          <w:p w14:paraId="6D550FD7"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Integrante de la Fracción Legislativa de MORENA</w:t>
            </w:r>
          </w:p>
          <w:p w14:paraId="734D9D4B"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tc>
      </w:tr>
      <w:tr w:rsidR="00202B1C" w:rsidRPr="00F3036F" w14:paraId="20B343BD" w14:textId="77777777" w:rsidTr="007E5FEB">
        <w:tc>
          <w:tcPr>
            <w:tcW w:w="4414" w:type="dxa"/>
          </w:tcPr>
          <w:p w14:paraId="02CB076D"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41E89619"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12D30B16" w14:textId="77777777" w:rsidR="00202B1C"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7012C096" w14:textId="77777777" w:rsidR="00202B1C"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5F9A6B52" w14:textId="77777777" w:rsidR="00202B1C"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421413DD"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455D18D8" w14:textId="6A3FD9D1"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__________________________</w:t>
            </w:r>
          </w:p>
          <w:p w14:paraId="1F8EE5BF"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DIP.  RAFAEL GERMÁN QUINTAL MEDINA</w:t>
            </w:r>
          </w:p>
          <w:p w14:paraId="48108A9B"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INTEGRANTE DE LA FRACCIÓN LEGISLATIVA DE MORENA</w:t>
            </w:r>
          </w:p>
          <w:p w14:paraId="3DA23B51"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13CA788E"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597FA92A"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tc>
        <w:tc>
          <w:tcPr>
            <w:tcW w:w="4414" w:type="dxa"/>
          </w:tcPr>
          <w:p w14:paraId="11899856"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66A5DA2E"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03B006BC" w14:textId="77777777" w:rsidR="00202B1C"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1A733467" w14:textId="77777777" w:rsidR="00202B1C"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2BDD9D23" w14:textId="77777777" w:rsidR="00202B1C"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6FE21F61"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12FEFC9E" w14:textId="50DABA02"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___________________________</w:t>
            </w:r>
          </w:p>
          <w:p w14:paraId="5B2DF437"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 xml:space="preserve">DIP.  MARÍA ESTHER MAGADÁN ALONZO </w:t>
            </w:r>
          </w:p>
          <w:p w14:paraId="0CFED260"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INTEGRANTE DE LA FRACCIÓN LEGISLATIVA DE MORENA</w:t>
            </w:r>
          </w:p>
          <w:p w14:paraId="26D97209" w14:textId="77777777" w:rsidR="00202B1C"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50AE1B46" w14:textId="77777777" w:rsidR="00202B1C"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42592DB0"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7EF88FD8"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tc>
      </w:tr>
      <w:tr w:rsidR="00202B1C" w:rsidRPr="00F3036F" w14:paraId="56959840" w14:textId="77777777" w:rsidTr="007E5FEB">
        <w:tc>
          <w:tcPr>
            <w:tcW w:w="4414" w:type="dxa"/>
          </w:tcPr>
          <w:p w14:paraId="183A5D4A"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12199922"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__________________________</w:t>
            </w:r>
          </w:p>
          <w:p w14:paraId="7B145822"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DIP.  ERIC EDGARDO QUIJANO GONZÁLEZ</w:t>
            </w:r>
          </w:p>
          <w:p w14:paraId="568605B0"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INTEGRANTE DE LA FRACCIÓN LEGISLATIVA DE MORENA</w:t>
            </w:r>
          </w:p>
          <w:p w14:paraId="6E951C28"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tc>
        <w:tc>
          <w:tcPr>
            <w:tcW w:w="4414" w:type="dxa"/>
          </w:tcPr>
          <w:p w14:paraId="696627F6"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0F17E4E8" w14:textId="721EBC9C"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___________________________</w:t>
            </w:r>
          </w:p>
          <w:p w14:paraId="22B55846"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DIP.  MARIBEL DEL ROSARIO CHUC AYALA</w:t>
            </w:r>
          </w:p>
          <w:p w14:paraId="22082D8E"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INTEGRANTE DE LA FRACCIÓN LEGISLATIVA DE MORENA</w:t>
            </w:r>
          </w:p>
          <w:p w14:paraId="2EC855F0"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tc>
      </w:tr>
      <w:tr w:rsidR="00202B1C" w:rsidRPr="00F3036F" w14:paraId="0D3F9F90" w14:textId="77777777" w:rsidTr="007E5FEB">
        <w:tc>
          <w:tcPr>
            <w:tcW w:w="4414" w:type="dxa"/>
          </w:tcPr>
          <w:p w14:paraId="43FEB4B4"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1D6734FC"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1B6867FD" w14:textId="77777777" w:rsidR="00202B1C"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2E940962"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0F6A107B" w14:textId="77777777" w:rsidR="00202B1C"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7E408FDD" w14:textId="77777777" w:rsidR="00202B1C"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0DDC1829" w14:textId="77777777" w:rsidR="00202B1C"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4F978E92"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730701AB" w14:textId="77777777" w:rsidR="00202B1C"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4ACA7D3A"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6ED7E5CB"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6B979381" w14:textId="0445614B"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__________________________</w:t>
            </w:r>
          </w:p>
          <w:p w14:paraId="3102B852"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DIP. WILBER DZUL CANUL</w:t>
            </w:r>
          </w:p>
          <w:p w14:paraId="5065F063"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INTEGRANTE DE LA FRACCIÓN LEGISLATIVA DE MORENA</w:t>
            </w:r>
          </w:p>
          <w:p w14:paraId="71C3F48E"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0589EFB0"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tc>
        <w:tc>
          <w:tcPr>
            <w:tcW w:w="4414" w:type="dxa"/>
          </w:tcPr>
          <w:p w14:paraId="17BCEF68"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463932A9"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1B595AFC" w14:textId="77777777" w:rsidR="00202B1C"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0038C202" w14:textId="77777777" w:rsidR="00202B1C"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1C776C31" w14:textId="77777777" w:rsidR="00202B1C"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2C7E66C0" w14:textId="77777777" w:rsidR="00202B1C"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0838988A"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4E042400"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0FE60585" w14:textId="77777777" w:rsidR="00202B1C"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723A89EF"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066E79EA"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p w14:paraId="5747BB22" w14:textId="74B21D16"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r w:rsidRPr="00F3036F">
              <w:rPr>
                <w:rFonts w:ascii="Tahoma" w:hAnsi="Tahoma" w:cs="Tahoma"/>
                <w:b/>
                <w:bCs/>
              </w:rPr>
              <w:t>___________________________</w:t>
            </w:r>
          </w:p>
          <w:p w14:paraId="75E2D8DF" w14:textId="77777777" w:rsidR="00202B1C" w:rsidRPr="00F3036F" w:rsidRDefault="00202B1C" w:rsidP="007E5FEB">
            <w:pPr>
              <w:autoSpaceDE w:val="0"/>
              <w:autoSpaceDN w:val="0"/>
              <w:adjustRightInd w:val="0"/>
              <w:spacing w:before="240" w:afterLines="160" w:after="384" w:line="360" w:lineRule="auto"/>
              <w:contextualSpacing/>
              <w:rPr>
                <w:rFonts w:ascii="Tahoma" w:hAnsi="Tahoma" w:cs="Tahoma"/>
                <w:b/>
                <w:bCs/>
              </w:rPr>
            </w:pPr>
            <w:r w:rsidRPr="00F3036F">
              <w:rPr>
                <w:rFonts w:ascii="Tahoma" w:hAnsi="Tahoma" w:cs="Tahoma"/>
                <w:b/>
                <w:bCs/>
              </w:rPr>
              <w:t>DIP. AYDÉ VERÓNICA INTERIÁN ARGUELLO, INTEGRANTE DE LA FRACCIÓN LEGISLATIVA DE MORENA</w:t>
            </w:r>
          </w:p>
          <w:p w14:paraId="1AA6D4D5" w14:textId="77777777" w:rsidR="00202B1C" w:rsidRPr="00F3036F" w:rsidRDefault="00202B1C" w:rsidP="007E5FEB">
            <w:pPr>
              <w:autoSpaceDE w:val="0"/>
              <w:autoSpaceDN w:val="0"/>
              <w:adjustRightInd w:val="0"/>
              <w:spacing w:before="240" w:afterLines="160" w:after="384" w:line="360" w:lineRule="auto"/>
              <w:contextualSpacing/>
              <w:jc w:val="center"/>
              <w:rPr>
                <w:rFonts w:ascii="Tahoma" w:hAnsi="Tahoma" w:cs="Tahoma"/>
                <w:b/>
                <w:bCs/>
              </w:rPr>
            </w:pPr>
          </w:p>
        </w:tc>
      </w:tr>
    </w:tbl>
    <w:p w14:paraId="5CD902EB" w14:textId="77777777" w:rsidR="00202B1C" w:rsidRPr="00F3036F" w:rsidRDefault="00202B1C" w:rsidP="00202B1C">
      <w:pPr>
        <w:spacing w:before="240" w:line="360" w:lineRule="auto"/>
        <w:rPr>
          <w:rFonts w:ascii="Tahoma" w:hAnsi="Tahoma" w:cs="Tahoma"/>
        </w:rPr>
      </w:pPr>
    </w:p>
    <w:p w14:paraId="0C51E6A3" w14:textId="77777777" w:rsidR="00202B1C" w:rsidRPr="00F3036F" w:rsidRDefault="00202B1C" w:rsidP="00202B1C">
      <w:pPr>
        <w:spacing w:before="240" w:line="360" w:lineRule="auto"/>
        <w:jc w:val="center"/>
        <w:rPr>
          <w:rFonts w:ascii="Tahoma" w:hAnsi="Tahoma" w:cs="Tahoma"/>
        </w:rPr>
      </w:pPr>
    </w:p>
    <w:p w14:paraId="3D09B8F5" w14:textId="77777777" w:rsidR="00202B1C" w:rsidRPr="00F3036F" w:rsidRDefault="00202B1C" w:rsidP="00202B1C">
      <w:pPr>
        <w:spacing w:before="240" w:line="360" w:lineRule="auto"/>
        <w:jc w:val="center"/>
        <w:rPr>
          <w:rFonts w:ascii="Tahoma" w:hAnsi="Tahoma" w:cs="Tahoma"/>
          <w:color w:val="000000" w:themeColor="text1"/>
        </w:rPr>
      </w:pPr>
    </w:p>
    <w:p w14:paraId="39095C41" w14:textId="77777777" w:rsidR="00202B1C" w:rsidRDefault="00202B1C" w:rsidP="00202B1C">
      <w:pPr>
        <w:spacing w:before="240" w:after="240"/>
        <w:jc w:val="center"/>
        <w:rPr>
          <w:rFonts w:ascii="Tahoma" w:eastAsia="Tahoma" w:hAnsi="Tahoma" w:cs="Tahoma"/>
        </w:rPr>
      </w:pPr>
    </w:p>
    <w:p w14:paraId="41552C0F" w14:textId="77777777" w:rsidR="00202B1C" w:rsidRPr="00B16609" w:rsidRDefault="00202B1C" w:rsidP="00202B1C">
      <w:pPr>
        <w:spacing w:after="9" w:line="265" w:lineRule="auto"/>
        <w:ind w:left="10" w:right="43" w:hanging="10"/>
        <w:jc w:val="center"/>
        <w:rPr>
          <w:rFonts w:ascii="Arial" w:hAnsi="Arial" w:cs="Arial"/>
        </w:rPr>
      </w:pPr>
    </w:p>
    <w:sectPr w:rsidR="00202B1C" w:rsidRPr="00B16609" w:rsidSect="00202B1C">
      <w:headerReference w:type="even" r:id="rId9"/>
      <w:headerReference w:type="default" r:id="rId10"/>
      <w:footerReference w:type="even" r:id="rId11"/>
      <w:footerReference w:type="default" r:id="rId12"/>
      <w:headerReference w:type="first" r:id="rId13"/>
      <w:pgSz w:w="12240" w:h="15840"/>
      <w:pgMar w:top="2280" w:right="1654" w:bottom="1368" w:left="1699" w:header="901"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1FDF3" w14:textId="77777777" w:rsidR="00201A64" w:rsidRDefault="00201A64">
      <w:pPr>
        <w:spacing w:after="0" w:line="240" w:lineRule="auto"/>
      </w:pPr>
      <w:r>
        <w:separator/>
      </w:r>
    </w:p>
  </w:endnote>
  <w:endnote w:type="continuationSeparator" w:id="0">
    <w:p w14:paraId="57F1166E" w14:textId="77777777" w:rsidR="00201A64" w:rsidRDefault="00201A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1097098073"/>
      <w:docPartObj>
        <w:docPartGallery w:val="Page Numbers (Bottom of Page)"/>
        <w:docPartUnique/>
      </w:docPartObj>
    </w:sdtPr>
    <w:sdtEndPr>
      <w:rPr>
        <w:rStyle w:val="Nmerodepgina"/>
      </w:rPr>
    </w:sdtEndPr>
    <w:sdtContent>
      <w:p w14:paraId="66986350" w14:textId="11060DF4" w:rsidR="00B16609" w:rsidRDefault="00B16609" w:rsidP="00E9673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52C7BDC" w14:textId="77777777" w:rsidR="00B16609" w:rsidRDefault="00B16609" w:rsidP="0064512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Nmerodepgina"/>
      </w:rPr>
      <w:id w:val="592283958"/>
      <w:docPartObj>
        <w:docPartGallery w:val="Page Numbers (Bottom of Page)"/>
        <w:docPartUnique/>
      </w:docPartObj>
    </w:sdtPr>
    <w:sdtEndPr>
      <w:rPr>
        <w:rStyle w:val="Nmerodepgina"/>
      </w:rPr>
    </w:sdtEndPr>
    <w:sdtContent>
      <w:p w14:paraId="7F39F197" w14:textId="39FBEDAA" w:rsidR="00B16609" w:rsidRDefault="00B16609" w:rsidP="00E96734">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201A64">
          <w:rPr>
            <w:rStyle w:val="Nmerodepgina"/>
            <w:noProof/>
          </w:rPr>
          <w:t>1</w:t>
        </w:r>
        <w:r>
          <w:rPr>
            <w:rStyle w:val="Nmerodepgina"/>
          </w:rPr>
          <w:fldChar w:fldCharType="end"/>
        </w:r>
      </w:p>
    </w:sdtContent>
  </w:sdt>
  <w:p w14:paraId="26FAD13E" w14:textId="77777777" w:rsidR="00B16609" w:rsidRDefault="00B16609" w:rsidP="00645126">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A738F" w14:textId="77777777" w:rsidR="00201A64" w:rsidRDefault="00201A64">
      <w:pPr>
        <w:spacing w:after="0" w:line="240" w:lineRule="auto"/>
      </w:pPr>
      <w:r>
        <w:separator/>
      </w:r>
    </w:p>
  </w:footnote>
  <w:footnote w:type="continuationSeparator" w:id="0">
    <w:p w14:paraId="3A5A64ED" w14:textId="77777777" w:rsidR="00201A64" w:rsidRDefault="00201A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5984C" w14:textId="77777777" w:rsidR="00B16609" w:rsidRDefault="00B16609">
    <w:pPr>
      <w:spacing w:after="0" w:line="259" w:lineRule="auto"/>
      <w:ind w:left="0" w:right="0" w:firstLine="0"/>
      <w:jc w:val="left"/>
    </w:pPr>
    <w:r>
      <w:rPr>
        <w:noProof/>
      </w:rPr>
      <w:drawing>
        <wp:anchor distT="0" distB="0" distL="114300" distR="114300" simplePos="0" relativeHeight="251658240" behindDoc="0" locked="0" layoutInCell="1" allowOverlap="0" wp14:anchorId="3ED04CBE" wp14:editId="581CE9C4">
          <wp:simplePos x="0" y="0"/>
          <wp:positionH relativeFrom="page">
            <wp:posOffset>870586</wp:posOffset>
          </wp:positionH>
          <wp:positionV relativeFrom="page">
            <wp:posOffset>572136</wp:posOffset>
          </wp:positionV>
          <wp:extent cx="2398776" cy="551688"/>
          <wp:effectExtent l="0" t="0" r="0" b="0"/>
          <wp:wrapSquare wrapText="bothSides"/>
          <wp:docPr id="1" name="Picture 23300"/>
          <wp:cNvGraphicFramePr/>
          <a:graphic xmlns:a="http://schemas.openxmlformats.org/drawingml/2006/main">
            <a:graphicData uri="http://schemas.openxmlformats.org/drawingml/2006/picture">
              <pic:pic xmlns:pic="http://schemas.openxmlformats.org/drawingml/2006/picture">
                <pic:nvPicPr>
                  <pic:cNvPr id="23300" name="Picture 23300"/>
                  <pic:cNvPicPr/>
                </pic:nvPicPr>
                <pic:blipFill>
                  <a:blip r:embed="rId1"/>
                  <a:stretch>
                    <a:fillRect/>
                  </a:stretch>
                </pic:blipFill>
                <pic:spPr>
                  <a:xfrm>
                    <a:off x="0" y="0"/>
                    <a:ext cx="2398776" cy="551688"/>
                  </a:xfrm>
                  <a:prstGeom prst="rect">
                    <a:avLst/>
                  </a:prstGeom>
                </pic:spPr>
              </pic:pic>
            </a:graphicData>
          </a:graphic>
        </wp:anchor>
      </w:drawing>
    </w:r>
    <w:r>
      <w:rPr>
        <w:noProof/>
      </w:rPr>
      <w:drawing>
        <wp:anchor distT="0" distB="0" distL="114300" distR="114300" simplePos="0" relativeHeight="251659264" behindDoc="0" locked="0" layoutInCell="1" allowOverlap="0" wp14:anchorId="6840EEC0" wp14:editId="1E1420D5">
          <wp:simplePos x="0" y="0"/>
          <wp:positionH relativeFrom="page">
            <wp:posOffset>5258437</wp:posOffset>
          </wp:positionH>
          <wp:positionV relativeFrom="page">
            <wp:posOffset>635636</wp:posOffset>
          </wp:positionV>
          <wp:extent cx="1644015" cy="444500"/>
          <wp:effectExtent l="0" t="0" r="0" b="0"/>
          <wp:wrapSquare wrapText="bothSides"/>
          <wp:docPr id="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stretch>
                    <a:fillRect/>
                  </a:stretch>
                </pic:blipFill>
                <pic:spPr>
                  <a:xfrm>
                    <a:off x="0" y="0"/>
                    <a:ext cx="1644015" cy="444500"/>
                  </a:xfrm>
                  <a:prstGeom prst="rect">
                    <a:avLst/>
                  </a:prstGeom>
                </pic:spPr>
              </pic:pic>
            </a:graphicData>
          </a:graphic>
        </wp:anchor>
      </w:drawing>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6496C9" w14:textId="77777777" w:rsidR="00B16609" w:rsidRDefault="00B16609">
    <w:pPr>
      <w:spacing w:after="0" w:line="259" w:lineRule="auto"/>
      <w:ind w:left="0" w:right="0" w:firstLine="0"/>
      <w:jc w:val="left"/>
    </w:pPr>
    <w:r>
      <w:rPr>
        <w:noProof/>
      </w:rPr>
      <w:drawing>
        <wp:anchor distT="0" distB="0" distL="114300" distR="114300" simplePos="0" relativeHeight="251660288" behindDoc="0" locked="0" layoutInCell="1" allowOverlap="0" wp14:anchorId="053C4022" wp14:editId="73750707">
          <wp:simplePos x="0" y="0"/>
          <wp:positionH relativeFrom="page">
            <wp:posOffset>870586</wp:posOffset>
          </wp:positionH>
          <wp:positionV relativeFrom="page">
            <wp:posOffset>572136</wp:posOffset>
          </wp:positionV>
          <wp:extent cx="2398776" cy="551688"/>
          <wp:effectExtent l="0" t="0" r="0" b="0"/>
          <wp:wrapSquare wrapText="bothSides"/>
          <wp:docPr id="3" name="Picture 23300"/>
          <wp:cNvGraphicFramePr/>
          <a:graphic xmlns:a="http://schemas.openxmlformats.org/drawingml/2006/main">
            <a:graphicData uri="http://schemas.openxmlformats.org/drawingml/2006/picture">
              <pic:pic xmlns:pic="http://schemas.openxmlformats.org/drawingml/2006/picture">
                <pic:nvPicPr>
                  <pic:cNvPr id="23300" name="Picture 23300"/>
                  <pic:cNvPicPr/>
                </pic:nvPicPr>
                <pic:blipFill>
                  <a:blip r:embed="rId1"/>
                  <a:stretch>
                    <a:fillRect/>
                  </a:stretch>
                </pic:blipFill>
                <pic:spPr>
                  <a:xfrm>
                    <a:off x="0" y="0"/>
                    <a:ext cx="2398776" cy="551688"/>
                  </a:xfrm>
                  <a:prstGeom prst="rect">
                    <a:avLst/>
                  </a:prstGeom>
                </pic:spPr>
              </pic:pic>
            </a:graphicData>
          </a:graphic>
        </wp:anchor>
      </w:drawing>
    </w:r>
    <w:r>
      <w:rPr>
        <w:noProof/>
      </w:rPr>
      <w:drawing>
        <wp:anchor distT="0" distB="0" distL="114300" distR="114300" simplePos="0" relativeHeight="251661312" behindDoc="0" locked="0" layoutInCell="1" allowOverlap="0" wp14:anchorId="6B9B9DF6" wp14:editId="4C07E153">
          <wp:simplePos x="0" y="0"/>
          <wp:positionH relativeFrom="page">
            <wp:posOffset>5258437</wp:posOffset>
          </wp:positionH>
          <wp:positionV relativeFrom="page">
            <wp:posOffset>635636</wp:posOffset>
          </wp:positionV>
          <wp:extent cx="1644015" cy="444500"/>
          <wp:effectExtent l="0" t="0" r="0" b="0"/>
          <wp:wrapSquare wrapText="bothSides"/>
          <wp:docPr id="4"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stretch>
                    <a:fillRect/>
                  </a:stretch>
                </pic:blipFill>
                <pic:spPr>
                  <a:xfrm>
                    <a:off x="0" y="0"/>
                    <a:ext cx="1644015" cy="444500"/>
                  </a:xfrm>
                  <a:prstGeom prst="rect">
                    <a:avLst/>
                  </a:prstGeom>
                </pic:spPr>
              </pic:pic>
            </a:graphicData>
          </a:graphic>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7B3F3" w14:textId="77777777" w:rsidR="00B16609" w:rsidRDefault="00B16609">
    <w:pPr>
      <w:spacing w:after="0" w:line="259" w:lineRule="auto"/>
      <w:ind w:left="0" w:right="0" w:firstLine="0"/>
      <w:jc w:val="left"/>
    </w:pPr>
    <w:r>
      <w:rPr>
        <w:noProof/>
      </w:rPr>
      <w:drawing>
        <wp:anchor distT="0" distB="0" distL="114300" distR="114300" simplePos="0" relativeHeight="251662336" behindDoc="0" locked="0" layoutInCell="1" allowOverlap="0" wp14:anchorId="655C09D6" wp14:editId="16F24B09">
          <wp:simplePos x="0" y="0"/>
          <wp:positionH relativeFrom="page">
            <wp:posOffset>870586</wp:posOffset>
          </wp:positionH>
          <wp:positionV relativeFrom="page">
            <wp:posOffset>572136</wp:posOffset>
          </wp:positionV>
          <wp:extent cx="2398776" cy="551688"/>
          <wp:effectExtent l="0" t="0" r="0" b="0"/>
          <wp:wrapSquare wrapText="bothSides"/>
          <wp:docPr id="5" name="Picture 23300"/>
          <wp:cNvGraphicFramePr/>
          <a:graphic xmlns:a="http://schemas.openxmlformats.org/drawingml/2006/main">
            <a:graphicData uri="http://schemas.openxmlformats.org/drawingml/2006/picture">
              <pic:pic xmlns:pic="http://schemas.openxmlformats.org/drawingml/2006/picture">
                <pic:nvPicPr>
                  <pic:cNvPr id="23300" name="Picture 23300"/>
                  <pic:cNvPicPr/>
                </pic:nvPicPr>
                <pic:blipFill>
                  <a:blip r:embed="rId1"/>
                  <a:stretch>
                    <a:fillRect/>
                  </a:stretch>
                </pic:blipFill>
                <pic:spPr>
                  <a:xfrm>
                    <a:off x="0" y="0"/>
                    <a:ext cx="2398776" cy="551688"/>
                  </a:xfrm>
                  <a:prstGeom prst="rect">
                    <a:avLst/>
                  </a:prstGeom>
                </pic:spPr>
              </pic:pic>
            </a:graphicData>
          </a:graphic>
        </wp:anchor>
      </w:drawing>
    </w:r>
    <w:r>
      <w:rPr>
        <w:noProof/>
      </w:rPr>
      <w:drawing>
        <wp:anchor distT="0" distB="0" distL="114300" distR="114300" simplePos="0" relativeHeight="251663360" behindDoc="0" locked="0" layoutInCell="1" allowOverlap="0" wp14:anchorId="68354826" wp14:editId="5F1DB644">
          <wp:simplePos x="0" y="0"/>
          <wp:positionH relativeFrom="page">
            <wp:posOffset>5258437</wp:posOffset>
          </wp:positionH>
          <wp:positionV relativeFrom="page">
            <wp:posOffset>635636</wp:posOffset>
          </wp:positionV>
          <wp:extent cx="1644015" cy="444500"/>
          <wp:effectExtent l="0" t="0" r="0" b="0"/>
          <wp:wrapSquare wrapText="bothSides"/>
          <wp:docPr id="6"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
                  <a:stretch>
                    <a:fillRect/>
                  </a:stretch>
                </pic:blipFill>
                <pic:spPr>
                  <a:xfrm>
                    <a:off x="0" y="0"/>
                    <a:ext cx="1644015" cy="444500"/>
                  </a:xfrm>
                  <a:prstGeom prst="rect">
                    <a:avLst/>
                  </a:prstGeom>
                </pic:spPr>
              </pic:pic>
            </a:graphicData>
          </a:graphic>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D09C3"/>
    <w:multiLevelType w:val="hybridMultilevel"/>
    <w:tmpl w:val="74A68028"/>
    <w:lvl w:ilvl="0" w:tplc="0156A28A">
      <w:start w:val="3"/>
      <w:numFmt w:val="upperRoman"/>
      <w:lvlText w:val="%1."/>
      <w:lvlJc w:val="left"/>
      <w:pPr>
        <w:ind w:left="107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21B45648">
      <w:start w:val="1"/>
      <w:numFmt w:val="lowerLetter"/>
      <w:lvlText w:val="%2"/>
      <w:lvlJc w:val="left"/>
      <w:pPr>
        <w:ind w:left="143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6BEA71D0">
      <w:start w:val="1"/>
      <w:numFmt w:val="lowerRoman"/>
      <w:lvlText w:val="%3"/>
      <w:lvlJc w:val="left"/>
      <w:pPr>
        <w:ind w:left="215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9A401E4E">
      <w:start w:val="1"/>
      <w:numFmt w:val="decimal"/>
      <w:lvlText w:val="%4"/>
      <w:lvlJc w:val="left"/>
      <w:pPr>
        <w:ind w:left="287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E1728690">
      <w:start w:val="1"/>
      <w:numFmt w:val="lowerLetter"/>
      <w:lvlText w:val="%5"/>
      <w:lvlJc w:val="left"/>
      <w:pPr>
        <w:ind w:left="359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E7B6F90C">
      <w:start w:val="1"/>
      <w:numFmt w:val="lowerRoman"/>
      <w:lvlText w:val="%6"/>
      <w:lvlJc w:val="left"/>
      <w:pPr>
        <w:ind w:left="431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DB6C45B2">
      <w:start w:val="1"/>
      <w:numFmt w:val="decimal"/>
      <w:lvlText w:val="%7"/>
      <w:lvlJc w:val="left"/>
      <w:pPr>
        <w:ind w:left="503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3A90EFFE">
      <w:start w:val="1"/>
      <w:numFmt w:val="lowerLetter"/>
      <w:lvlText w:val="%8"/>
      <w:lvlJc w:val="left"/>
      <w:pPr>
        <w:ind w:left="575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88D493EE">
      <w:start w:val="1"/>
      <w:numFmt w:val="lowerRoman"/>
      <w:lvlText w:val="%9"/>
      <w:lvlJc w:val="left"/>
      <w:pPr>
        <w:ind w:left="647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abstractNum w:abstractNumId="1">
    <w:nsid w:val="28B67EF3"/>
    <w:multiLevelType w:val="hybridMultilevel"/>
    <w:tmpl w:val="F3C2DBCC"/>
    <w:lvl w:ilvl="0" w:tplc="A10850CE">
      <w:start w:val="1"/>
      <w:numFmt w:val="upperLetter"/>
      <w:lvlText w:val="%1)"/>
      <w:lvlJc w:val="left"/>
      <w:pPr>
        <w:ind w:left="72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1" w:tplc="7406781C">
      <w:start w:val="1"/>
      <w:numFmt w:val="lowerLetter"/>
      <w:lvlText w:val="%2"/>
      <w:lvlJc w:val="left"/>
      <w:pPr>
        <w:ind w:left="144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2" w:tplc="4B8E0616">
      <w:start w:val="1"/>
      <w:numFmt w:val="lowerRoman"/>
      <w:lvlText w:val="%3"/>
      <w:lvlJc w:val="left"/>
      <w:pPr>
        <w:ind w:left="216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3" w:tplc="F4D0595A">
      <w:start w:val="1"/>
      <w:numFmt w:val="decimal"/>
      <w:lvlText w:val="%4"/>
      <w:lvlJc w:val="left"/>
      <w:pPr>
        <w:ind w:left="288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4" w:tplc="67B88EB2">
      <w:start w:val="1"/>
      <w:numFmt w:val="lowerLetter"/>
      <w:lvlText w:val="%5"/>
      <w:lvlJc w:val="left"/>
      <w:pPr>
        <w:ind w:left="360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5" w:tplc="EFBC8D9E">
      <w:start w:val="1"/>
      <w:numFmt w:val="lowerRoman"/>
      <w:lvlText w:val="%6"/>
      <w:lvlJc w:val="left"/>
      <w:pPr>
        <w:ind w:left="432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6" w:tplc="50065D5A">
      <w:start w:val="1"/>
      <w:numFmt w:val="decimal"/>
      <w:lvlText w:val="%7"/>
      <w:lvlJc w:val="left"/>
      <w:pPr>
        <w:ind w:left="504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7" w:tplc="BAB07C26">
      <w:start w:val="1"/>
      <w:numFmt w:val="lowerLetter"/>
      <w:lvlText w:val="%8"/>
      <w:lvlJc w:val="left"/>
      <w:pPr>
        <w:ind w:left="576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8" w:tplc="63CAA4C2">
      <w:start w:val="1"/>
      <w:numFmt w:val="lowerRoman"/>
      <w:lvlText w:val="%9"/>
      <w:lvlJc w:val="left"/>
      <w:pPr>
        <w:ind w:left="648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abstractNum>
  <w:abstractNum w:abstractNumId="2">
    <w:nsid w:val="2B504DCF"/>
    <w:multiLevelType w:val="hybridMultilevel"/>
    <w:tmpl w:val="69B0DE98"/>
    <w:lvl w:ilvl="0" w:tplc="20861DEC">
      <w:start w:val="1"/>
      <w:numFmt w:val="upperLetter"/>
      <w:lvlText w:val="%1."/>
      <w:lvlJc w:val="left"/>
      <w:pPr>
        <w:ind w:left="426"/>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1" w:tplc="4F9A2B80">
      <w:start w:val="1"/>
      <w:numFmt w:val="lowerLetter"/>
      <w:lvlText w:val="%2"/>
      <w:lvlJc w:val="left"/>
      <w:pPr>
        <w:ind w:left="108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2" w:tplc="110C6C3C">
      <w:start w:val="1"/>
      <w:numFmt w:val="lowerRoman"/>
      <w:lvlText w:val="%3"/>
      <w:lvlJc w:val="left"/>
      <w:pPr>
        <w:ind w:left="180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3" w:tplc="A4468DE2">
      <w:start w:val="1"/>
      <w:numFmt w:val="decimal"/>
      <w:lvlText w:val="%4"/>
      <w:lvlJc w:val="left"/>
      <w:pPr>
        <w:ind w:left="252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4" w:tplc="79E6DDB0">
      <w:start w:val="1"/>
      <w:numFmt w:val="lowerLetter"/>
      <w:lvlText w:val="%5"/>
      <w:lvlJc w:val="left"/>
      <w:pPr>
        <w:ind w:left="324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5" w:tplc="3E383B62">
      <w:start w:val="1"/>
      <w:numFmt w:val="lowerRoman"/>
      <w:lvlText w:val="%6"/>
      <w:lvlJc w:val="left"/>
      <w:pPr>
        <w:ind w:left="396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6" w:tplc="6E16C968">
      <w:start w:val="1"/>
      <w:numFmt w:val="decimal"/>
      <w:lvlText w:val="%7"/>
      <w:lvlJc w:val="left"/>
      <w:pPr>
        <w:ind w:left="468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7" w:tplc="15EA2D34">
      <w:start w:val="1"/>
      <w:numFmt w:val="lowerLetter"/>
      <w:lvlText w:val="%8"/>
      <w:lvlJc w:val="left"/>
      <w:pPr>
        <w:ind w:left="540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lvl w:ilvl="8" w:tplc="968292F8">
      <w:start w:val="1"/>
      <w:numFmt w:val="lowerRoman"/>
      <w:lvlText w:val="%9"/>
      <w:lvlJc w:val="left"/>
      <w:pPr>
        <w:ind w:left="6120"/>
      </w:pPr>
      <w:rPr>
        <w:rFonts w:ascii="Aptos" w:eastAsia="Aptos" w:hAnsi="Aptos" w:cs="Aptos"/>
        <w:b/>
        <w:bCs/>
        <w:i w:val="0"/>
        <w:strike w:val="0"/>
        <w:dstrike w:val="0"/>
        <w:color w:val="000000"/>
        <w:sz w:val="24"/>
        <w:szCs w:val="24"/>
        <w:u w:val="none" w:color="000000"/>
        <w:bdr w:val="none" w:sz="0" w:space="0" w:color="auto"/>
        <w:shd w:val="clear" w:color="auto" w:fill="auto"/>
        <w:vertAlign w:val="baseline"/>
      </w:rPr>
    </w:lvl>
  </w:abstractNum>
  <w:abstractNum w:abstractNumId="3">
    <w:nsid w:val="33D82858"/>
    <w:multiLevelType w:val="hybridMultilevel"/>
    <w:tmpl w:val="DFBE3BA2"/>
    <w:lvl w:ilvl="0" w:tplc="344EF02C">
      <w:start w:val="1"/>
      <w:numFmt w:val="upperRoman"/>
      <w:lvlText w:val="%1."/>
      <w:lvlJc w:val="left"/>
      <w:pPr>
        <w:ind w:left="75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76A06BBA">
      <w:start w:val="1"/>
      <w:numFmt w:val="lowerLetter"/>
      <w:lvlText w:val="%2"/>
      <w:lvlJc w:val="left"/>
      <w:pPr>
        <w:ind w:left="122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4B36AF8E">
      <w:start w:val="1"/>
      <w:numFmt w:val="lowerRoman"/>
      <w:lvlText w:val="%3"/>
      <w:lvlJc w:val="left"/>
      <w:pPr>
        <w:ind w:left="194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6562CFCE">
      <w:start w:val="1"/>
      <w:numFmt w:val="decimal"/>
      <w:lvlText w:val="%4"/>
      <w:lvlJc w:val="left"/>
      <w:pPr>
        <w:ind w:left="266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C96E2278">
      <w:start w:val="1"/>
      <w:numFmt w:val="lowerLetter"/>
      <w:lvlText w:val="%5"/>
      <w:lvlJc w:val="left"/>
      <w:pPr>
        <w:ind w:left="338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AE28E5AC">
      <w:start w:val="1"/>
      <w:numFmt w:val="lowerRoman"/>
      <w:lvlText w:val="%6"/>
      <w:lvlJc w:val="left"/>
      <w:pPr>
        <w:ind w:left="410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BBDC7A02">
      <w:start w:val="1"/>
      <w:numFmt w:val="decimal"/>
      <w:lvlText w:val="%7"/>
      <w:lvlJc w:val="left"/>
      <w:pPr>
        <w:ind w:left="482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FEAA4C32">
      <w:start w:val="1"/>
      <w:numFmt w:val="lowerLetter"/>
      <w:lvlText w:val="%8"/>
      <w:lvlJc w:val="left"/>
      <w:pPr>
        <w:ind w:left="554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90C2F3B8">
      <w:start w:val="1"/>
      <w:numFmt w:val="lowerRoman"/>
      <w:lvlText w:val="%9"/>
      <w:lvlJc w:val="left"/>
      <w:pPr>
        <w:ind w:left="626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abstractNum w:abstractNumId="4">
    <w:nsid w:val="42A2016D"/>
    <w:multiLevelType w:val="hybridMultilevel"/>
    <w:tmpl w:val="C86678A4"/>
    <w:lvl w:ilvl="0" w:tplc="B6BE05BC">
      <w:start w:val="1"/>
      <w:numFmt w:val="upperRoman"/>
      <w:lvlText w:val="%1."/>
      <w:lvlJc w:val="left"/>
      <w:pPr>
        <w:ind w:left="76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72DE27B8">
      <w:start w:val="1"/>
      <w:numFmt w:val="lowerLetter"/>
      <w:lvlText w:val="%2"/>
      <w:lvlJc w:val="left"/>
      <w:pPr>
        <w:ind w:left="122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404E6036">
      <w:start w:val="1"/>
      <w:numFmt w:val="lowerRoman"/>
      <w:lvlText w:val="%3"/>
      <w:lvlJc w:val="left"/>
      <w:pPr>
        <w:ind w:left="194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62442C90">
      <w:start w:val="1"/>
      <w:numFmt w:val="decimal"/>
      <w:lvlText w:val="%4"/>
      <w:lvlJc w:val="left"/>
      <w:pPr>
        <w:ind w:left="266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F334DC16">
      <w:start w:val="1"/>
      <w:numFmt w:val="lowerLetter"/>
      <w:lvlText w:val="%5"/>
      <w:lvlJc w:val="left"/>
      <w:pPr>
        <w:ind w:left="338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B3265F76">
      <w:start w:val="1"/>
      <w:numFmt w:val="lowerRoman"/>
      <w:lvlText w:val="%6"/>
      <w:lvlJc w:val="left"/>
      <w:pPr>
        <w:ind w:left="410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8EFAA83E">
      <w:start w:val="1"/>
      <w:numFmt w:val="decimal"/>
      <w:lvlText w:val="%7"/>
      <w:lvlJc w:val="left"/>
      <w:pPr>
        <w:ind w:left="482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DA3E0684">
      <w:start w:val="1"/>
      <w:numFmt w:val="lowerLetter"/>
      <w:lvlText w:val="%8"/>
      <w:lvlJc w:val="left"/>
      <w:pPr>
        <w:ind w:left="554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5C32836A">
      <w:start w:val="1"/>
      <w:numFmt w:val="lowerRoman"/>
      <w:lvlText w:val="%9"/>
      <w:lvlJc w:val="left"/>
      <w:pPr>
        <w:ind w:left="626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abstractNum w:abstractNumId="5">
    <w:nsid w:val="44E5428C"/>
    <w:multiLevelType w:val="hybridMultilevel"/>
    <w:tmpl w:val="633E96B6"/>
    <w:lvl w:ilvl="0" w:tplc="56321D1A">
      <w:start w:val="1"/>
      <w:numFmt w:val="upperRoman"/>
      <w:lvlText w:val="%1."/>
      <w:lvlJc w:val="left"/>
      <w:pPr>
        <w:ind w:left="85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E828C63E">
      <w:start w:val="1"/>
      <w:numFmt w:val="lowerLetter"/>
      <w:lvlText w:val="%2"/>
      <w:lvlJc w:val="left"/>
      <w:pPr>
        <w:ind w:left="136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D3C49CF6">
      <w:start w:val="1"/>
      <w:numFmt w:val="lowerRoman"/>
      <w:lvlText w:val="%3"/>
      <w:lvlJc w:val="left"/>
      <w:pPr>
        <w:ind w:left="208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2EF253C4">
      <w:start w:val="1"/>
      <w:numFmt w:val="decimal"/>
      <w:lvlText w:val="%4"/>
      <w:lvlJc w:val="left"/>
      <w:pPr>
        <w:ind w:left="280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0F4410D0">
      <w:start w:val="1"/>
      <w:numFmt w:val="lowerLetter"/>
      <w:lvlText w:val="%5"/>
      <w:lvlJc w:val="left"/>
      <w:pPr>
        <w:ind w:left="352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473A1394">
      <w:start w:val="1"/>
      <w:numFmt w:val="lowerRoman"/>
      <w:lvlText w:val="%6"/>
      <w:lvlJc w:val="left"/>
      <w:pPr>
        <w:ind w:left="424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7E9CC56C">
      <w:start w:val="1"/>
      <w:numFmt w:val="decimal"/>
      <w:lvlText w:val="%7"/>
      <w:lvlJc w:val="left"/>
      <w:pPr>
        <w:ind w:left="496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7BF28AD2">
      <w:start w:val="1"/>
      <w:numFmt w:val="lowerLetter"/>
      <w:lvlText w:val="%8"/>
      <w:lvlJc w:val="left"/>
      <w:pPr>
        <w:ind w:left="568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18909F7A">
      <w:start w:val="1"/>
      <w:numFmt w:val="lowerRoman"/>
      <w:lvlText w:val="%9"/>
      <w:lvlJc w:val="left"/>
      <w:pPr>
        <w:ind w:left="640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abstractNum w:abstractNumId="6">
    <w:nsid w:val="4ECD4EEA"/>
    <w:multiLevelType w:val="hybridMultilevel"/>
    <w:tmpl w:val="5BE6F8F2"/>
    <w:lvl w:ilvl="0" w:tplc="0308B4E8">
      <w:start w:val="7"/>
      <w:numFmt w:val="upperRoman"/>
      <w:lvlText w:val="%1."/>
      <w:lvlJc w:val="left"/>
      <w:pPr>
        <w:ind w:left="851"/>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CBB0B04C">
      <w:start w:val="1"/>
      <w:numFmt w:val="lowerLetter"/>
      <w:lvlText w:val="%2"/>
      <w:lvlJc w:val="left"/>
      <w:pPr>
        <w:ind w:left="136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02DC2DEE">
      <w:start w:val="1"/>
      <w:numFmt w:val="lowerRoman"/>
      <w:lvlText w:val="%3"/>
      <w:lvlJc w:val="left"/>
      <w:pPr>
        <w:ind w:left="208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624A1636">
      <w:start w:val="1"/>
      <w:numFmt w:val="decimal"/>
      <w:lvlText w:val="%4"/>
      <w:lvlJc w:val="left"/>
      <w:pPr>
        <w:ind w:left="280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5D8067CC">
      <w:start w:val="1"/>
      <w:numFmt w:val="lowerLetter"/>
      <w:lvlText w:val="%5"/>
      <w:lvlJc w:val="left"/>
      <w:pPr>
        <w:ind w:left="352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7FFC86D4">
      <w:start w:val="1"/>
      <w:numFmt w:val="lowerRoman"/>
      <w:lvlText w:val="%6"/>
      <w:lvlJc w:val="left"/>
      <w:pPr>
        <w:ind w:left="424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03B45A76">
      <w:start w:val="1"/>
      <w:numFmt w:val="decimal"/>
      <w:lvlText w:val="%7"/>
      <w:lvlJc w:val="left"/>
      <w:pPr>
        <w:ind w:left="496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F6B2AF42">
      <w:start w:val="1"/>
      <w:numFmt w:val="lowerLetter"/>
      <w:lvlText w:val="%8"/>
      <w:lvlJc w:val="left"/>
      <w:pPr>
        <w:ind w:left="568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1460063A">
      <w:start w:val="1"/>
      <w:numFmt w:val="lowerRoman"/>
      <w:lvlText w:val="%9"/>
      <w:lvlJc w:val="left"/>
      <w:pPr>
        <w:ind w:left="6404"/>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abstractNum w:abstractNumId="7">
    <w:nsid w:val="550F5B0F"/>
    <w:multiLevelType w:val="hybridMultilevel"/>
    <w:tmpl w:val="4C244FD8"/>
    <w:lvl w:ilvl="0" w:tplc="9FC264B4">
      <w:start w:val="1"/>
      <w:numFmt w:val="upperRoman"/>
      <w:lvlText w:val="%1."/>
      <w:lvlJc w:val="left"/>
      <w:pPr>
        <w:ind w:left="718"/>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B90477F2">
      <w:start w:val="1"/>
      <w:numFmt w:val="lowerLetter"/>
      <w:lvlText w:val="%2"/>
      <w:lvlJc w:val="left"/>
      <w:pPr>
        <w:ind w:left="1438"/>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094299E8">
      <w:start w:val="1"/>
      <w:numFmt w:val="lowerRoman"/>
      <w:lvlText w:val="%3"/>
      <w:lvlJc w:val="left"/>
      <w:pPr>
        <w:ind w:left="2158"/>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02FE01B6">
      <w:start w:val="1"/>
      <w:numFmt w:val="decimal"/>
      <w:lvlText w:val="%4"/>
      <w:lvlJc w:val="left"/>
      <w:pPr>
        <w:ind w:left="2878"/>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0D502936">
      <w:start w:val="1"/>
      <w:numFmt w:val="lowerLetter"/>
      <w:lvlText w:val="%5"/>
      <w:lvlJc w:val="left"/>
      <w:pPr>
        <w:ind w:left="3598"/>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56FC51E8">
      <w:start w:val="1"/>
      <w:numFmt w:val="lowerRoman"/>
      <w:lvlText w:val="%6"/>
      <w:lvlJc w:val="left"/>
      <w:pPr>
        <w:ind w:left="4318"/>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973C569E">
      <w:start w:val="1"/>
      <w:numFmt w:val="decimal"/>
      <w:lvlText w:val="%7"/>
      <w:lvlJc w:val="left"/>
      <w:pPr>
        <w:ind w:left="5038"/>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7EC2438E">
      <w:start w:val="1"/>
      <w:numFmt w:val="lowerLetter"/>
      <w:lvlText w:val="%8"/>
      <w:lvlJc w:val="left"/>
      <w:pPr>
        <w:ind w:left="5758"/>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1520EAC2">
      <w:start w:val="1"/>
      <w:numFmt w:val="lowerRoman"/>
      <w:lvlText w:val="%9"/>
      <w:lvlJc w:val="left"/>
      <w:pPr>
        <w:ind w:left="6478"/>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abstractNum w:abstractNumId="8">
    <w:nsid w:val="68042CC6"/>
    <w:multiLevelType w:val="hybridMultilevel"/>
    <w:tmpl w:val="E0023FE2"/>
    <w:lvl w:ilvl="0" w:tplc="497A4AEE">
      <w:start w:val="1"/>
      <w:numFmt w:val="upperRoman"/>
      <w:lvlText w:val="%1."/>
      <w:lvlJc w:val="left"/>
      <w:pPr>
        <w:ind w:left="107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EC90E6E8">
      <w:start w:val="1"/>
      <w:numFmt w:val="lowerLetter"/>
      <w:lvlText w:val="%2"/>
      <w:lvlJc w:val="left"/>
      <w:pPr>
        <w:ind w:left="143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E79CD46E">
      <w:start w:val="1"/>
      <w:numFmt w:val="lowerRoman"/>
      <w:lvlText w:val="%3"/>
      <w:lvlJc w:val="left"/>
      <w:pPr>
        <w:ind w:left="215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0A34D7EA">
      <w:start w:val="1"/>
      <w:numFmt w:val="decimal"/>
      <w:lvlText w:val="%4"/>
      <w:lvlJc w:val="left"/>
      <w:pPr>
        <w:ind w:left="287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AB322F6E">
      <w:start w:val="1"/>
      <w:numFmt w:val="lowerLetter"/>
      <w:lvlText w:val="%5"/>
      <w:lvlJc w:val="left"/>
      <w:pPr>
        <w:ind w:left="359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19BA6F10">
      <w:start w:val="1"/>
      <w:numFmt w:val="lowerRoman"/>
      <w:lvlText w:val="%6"/>
      <w:lvlJc w:val="left"/>
      <w:pPr>
        <w:ind w:left="431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2F3677FE">
      <w:start w:val="1"/>
      <w:numFmt w:val="decimal"/>
      <w:lvlText w:val="%7"/>
      <w:lvlJc w:val="left"/>
      <w:pPr>
        <w:ind w:left="503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E3048D9C">
      <w:start w:val="1"/>
      <w:numFmt w:val="lowerLetter"/>
      <w:lvlText w:val="%8"/>
      <w:lvlJc w:val="left"/>
      <w:pPr>
        <w:ind w:left="575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3B2C51C8">
      <w:start w:val="1"/>
      <w:numFmt w:val="lowerRoman"/>
      <w:lvlText w:val="%9"/>
      <w:lvlJc w:val="left"/>
      <w:pPr>
        <w:ind w:left="647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abstractNum w:abstractNumId="9">
    <w:nsid w:val="69E241C8"/>
    <w:multiLevelType w:val="hybridMultilevel"/>
    <w:tmpl w:val="CFDE1362"/>
    <w:lvl w:ilvl="0" w:tplc="0C5C7EA4">
      <w:start w:val="1"/>
      <w:numFmt w:val="upperRoman"/>
      <w:lvlText w:val="%1."/>
      <w:lvlJc w:val="left"/>
      <w:pPr>
        <w:ind w:left="782"/>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1" w:tplc="CC208970">
      <w:start w:val="1"/>
      <w:numFmt w:val="lowerLetter"/>
      <w:lvlText w:val="%2"/>
      <w:lvlJc w:val="left"/>
      <w:pPr>
        <w:ind w:left="124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2" w:tplc="26AE3176">
      <w:start w:val="1"/>
      <w:numFmt w:val="lowerRoman"/>
      <w:lvlText w:val="%3"/>
      <w:lvlJc w:val="left"/>
      <w:pPr>
        <w:ind w:left="196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3" w:tplc="C536406C">
      <w:start w:val="1"/>
      <w:numFmt w:val="decimal"/>
      <w:lvlText w:val="%4"/>
      <w:lvlJc w:val="left"/>
      <w:pPr>
        <w:ind w:left="268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4" w:tplc="EB689D1E">
      <w:start w:val="1"/>
      <w:numFmt w:val="lowerLetter"/>
      <w:lvlText w:val="%5"/>
      <w:lvlJc w:val="left"/>
      <w:pPr>
        <w:ind w:left="340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5" w:tplc="081C9892">
      <w:start w:val="1"/>
      <w:numFmt w:val="lowerRoman"/>
      <w:lvlText w:val="%6"/>
      <w:lvlJc w:val="left"/>
      <w:pPr>
        <w:ind w:left="412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6" w:tplc="AACE1578">
      <w:start w:val="1"/>
      <w:numFmt w:val="decimal"/>
      <w:lvlText w:val="%7"/>
      <w:lvlJc w:val="left"/>
      <w:pPr>
        <w:ind w:left="484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7" w:tplc="142410FA">
      <w:start w:val="1"/>
      <w:numFmt w:val="lowerLetter"/>
      <w:lvlText w:val="%8"/>
      <w:lvlJc w:val="left"/>
      <w:pPr>
        <w:ind w:left="556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lvl w:ilvl="8" w:tplc="963A98E8">
      <w:start w:val="1"/>
      <w:numFmt w:val="lowerRoman"/>
      <w:lvlText w:val="%9"/>
      <w:lvlJc w:val="left"/>
      <w:pPr>
        <w:ind w:left="6287"/>
      </w:pPr>
      <w:rPr>
        <w:rFonts w:ascii="Aptos" w:eastAsia="Aptos" w:hAnsi="Aptos" w:cs="Aptos"/>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9"/>
  </w:num>
  <w:num w:numId="3">
    <w:abstractNumId w:val="4"/>
  </w:num>
  <w:num w:numId="4">
    <w:abstractNumId w:val="1"/>
  </w:num>
  <w:num w:numId="5">
    <w:abstractNumId w:val="7"/>
  </w:num>
  <w:num w:numId="6">
    <w:abstractNumId w:val="5"/>
  </w:num>
  <w:num w:numId="7">
    <w:abstractNumId w:val="6"/>
  </w:num>
  <w:num w:numId="8">
    <w:abstractNumId w:val="8"/>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4B5"/>
    <w:rsid w:val="00006C7D"/>
    <w:rsid w:val="000915E6"/>
    <w:rsid w:val="000D04B5"/>
    <w:rsid w:val="0015675A"/>
    <w:rsid w:val="00201A64"/>
    <w:rsid w:val="00202B1C"/>
    <w:rsid w:val="002D3A43"/>
    <w:rsid w:val="003B2A47"/>
    <w:rsid w:val="00414B4C"/>
    <w:rsid w:val="0043731B"/>
    <w:rsid w:val="005B3146"/>
    <w:rsid w:val="00645126"/>
    <w:rsid w:val="00700C7F"/>
    <w:rsid w:val="00755CC1"/>
    <w:rsid w:val="008E2470"/>
    <w:rsid w:val="00A74775"/>
    <w:rsid w:val="00B16609"/>
    <w:rsid w:val="00C03558"/>
    <w:rsid w:val="00CF6C3C"/>
    <w:rsid w:val="00D039BE"/>
    <w:rsid w:val="00DE322B"/>
    <w:rsid w:val="00E67732"/>
    <w:rsid w:val="00E96734"/>
    <w:rsid w:val="00F077F5"/>
    <w:rsid w:val="00F422EC"/>
    <w:rsid w:val="00F56D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2E499"/>
  <w15:docId w15:val="{0F8B0F23-752D-7C42-A4C6-DD436AB00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0" w:lineRule="auto"/>
      <w:ind w:left="7" w:right="48" w:hanging="7"/>
      <w:jc w:val="both"/>
    </w:pPr>
    <w:rPr>
      <w:rFonts w:ascii="Aptos" w:eastAsia="Aptos" w:hAnsi="Aptos" w:cs="Aptos"/>
      <w:color w:val="000000"/>
    </w:rPr>
  </w:style>
  <w:style w:type="paragraph" w:styleId="Ttulo1">
    <w:name w:val="heading 1"/>
    <w:next w:val="Normal"/>
    <w:link w:val="Ttulo1Car"/>
    <w:uiPriority w:val="9"/>
    <w:qFormat/>
    <w:pPr>
      <w:keepNext/>
      <w:keepLines/>
      <w:spacing w:after="0" w:line="259" w:lineRule="auto"/>
      <w:ind w:left="10" w:hanging="10"/>
      <w:jc w:val="center"/>
      <w:outlineLvl w:val="0"/>
    </w:pPr>
    <w:rPr>
      <w:rFonts w:ascii="Aptos" w:eastAsia="Aptos" w:hAnsi="Aptos" w:cs="Aptos"/>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ptos" w:eastAsia="Aptos" w:hAnsi="Aptos" w:cs="Aptos"/>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64512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5126"/>
    <w:rPr>
      <w:rFonts w:ascii="Aptos" w:eastAsia="Aptos" w:hAnsi="Aptos" w:cs="Aptos"/>
      <w:color w:val="000000"/>
    </w:rPr>
  </w:style>
  <w:style w:type="character" w:styleId="Nmerodepgina">
    <w:name w:val="page number"/>
    <w:basedOn w:val="Fuentedeprrafopredeter"/>
    <w:uiPriority w:val="99"/>
    <w:semiHidden/>
    <w:unhideWhenUsed/>
    <w:rsid w:val="00645126"/>
  </w:style>
  <w:style w:type="table" w:styleId="Tablaconcuadrcula">
    <w:name w:val="Table Grid"/>
    <w:basedOn w:val="Tablanormal"/>
    <w:uiPriority w:val="39"/>
    <w:rsid w:val="003B2A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5721</Words>
  <Characters>31468</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Armando Mendez Gutierrez</dc:creator>
  <cp:keywords/>
  <cp:lastModifiedBy>Junta de Gobierno</cp:lastModifiedBy>
  <cp:revision>2</cp:revision>
  <dcterms:created xsi:type="dcterms:W3CDTF">2025-10-06T19:22:00Z</dcterms:created>
  <dcterms:modified xsi:type="dcterms:W3CDTF">2025-10-06T19:22:00Z</dcterms:modified>
</cp:coreProperties>
</file>